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F395C" w14:textId="6CAA0435" w:rsidR="004626FA" w:rsidRPr="00553D48" w:rsidRDefault="004626FA" w:rsidP="00075134">
      <w:pPr>
        <w:jc w:val="center"/>
        <w:rPr>
          <w:rFonts w:ascii="OpenDyslexic" w:hAnsi="OpenDyslexic"/>
          <w:sz w:val="40"/>
          <w:u w:val="single"/>
        </w:rPr>
      </w:pPr>
      <w:r w:rsidRPr="00553D48">
        <w:rPr>
          <w:rFonts w:ascii="OpenDyslexic" w:hAnsi="OpenDyslexic"/>
          <w:sz w:val="40"/>
          <w:u w:val="single"/>
        </w:rPr>
        <w:t xml:space="preserve">Spelling Overview </w:t>
      </w:r>
      <w:r w:rsidRPr="0067640E">
        <w:rPr>
          <w:rFonts w:ascii="OpenDyslexic" w:hAnsi="OpenDyslexic"/>
          <w:sz w:val="40"/>
          <w:highlight w:val="yellow"/>
          <w:u w:val="single"/>
        </w:rPr>
        <w:t xml:space="preserve">Year 4 </w:t>
      </w:r>
      <w:proofErr w:type="gramStart"/>
      <w:r w:rsidR="001137ED">
        <w:rPr>
          <w:rFonts w:ascii="OpenDyslexic" w:hAnsi="OpenDyslexic"/>
          <w:sz w:val="40"/>
          <w:u w:val="single"/>
        </w:rPr>
        <w:t>S</w:t>
      </w:r>
      <w:r w:rsidR="00B009C3">
        <w:rPr>
          <w:rFonts w:ascii="OpenDyslexic" w:hAnsi="OpenDyslexic"/>
          <w:sz w:val="40"/>
          <w:u w:val="single"/>
        </w:rPr>
        <w:t>ummer</w:t>
      </w:r>
      <w:proofErr w:type="gramEnd"/>
      <w:r w:rsidR="00B009C3">
        <w:rPr>
          <w:rFonts w:ascii="OpenDyslexic" w:hAnsi="OpenDyslexic"/>
          <w:sz w:val="40"/>
          <w:u w:val="single"/>
        </w:rPr>
        <w:t xml:space="preserve"> 1</w:t>
      </w:r>
    </w:p>
    <w:p w14:paraId="1E484D66" w14:textId="77777777" w:rsidR="004626FA" w:rsidRPr="004626FA" w:rsidRDefault="004626FA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 xml:space="preserve">These are some of the Statutory Words for </w:t>
      </w:r>
      <w:r w:rsidRPr="0067640E">
        <w:rPr>
          <w:rFonts w:ascii="OpenDyslexic" w:hAnsi="OpenDyslexic"/>
          <w:sz w:val="28"/>
          <w:highlight w:val="yellow"/>
        </w:rPr>
        <w:t>Year 4</w:t>
      </w:r>
      <w:r>
        <w:rPr>
          <w:rFonts w:ascii="OpenDyslexic" w:hAnsi="OpenDyslexic"/>
          <w:sz w:val="28"/>
        </w:rPr>
        <w:t>.  Please practise these at</w:t>
      </w:r>
      <w:r w:rsidR="00480E45">
        <w:rPr>
          <w:rFonts w:ascii="OpenDyslexic" w:hAnsi="OpenDyslexic"/>
          <w:sz w:val="28"/>
        </w:rPr>
        <w:t xml:space="preserve"> home using the strategies on the back of this sheet</w:t>
      </w:r>
      <w:r>
        <w:rPr>
          <w:rFonts w:ascii="OpenDyslexic" w:hAnsi="OpenDyslexic"/>
          <w:sz w:val="28"/>
        </w:rPr>
        <w:t>.  There will be regular assessment points throughout the term</w:t>
      </w:r>
      <w:r w:rsidR="00553D48">
        <w:rPr>
          <w:rFonts w:ascii="OpenDyslexic" w:hAnsi="OpenDyslexic"/>
          <w:sz w:val="28"/>
        </w:rPr>
        <w:t xml:space="preserve"> and we will assess your</w:t>
      </w:r>
      <w:r w:rsidR="00B33B0F">
        <w:rPr>
          <w:rFonts w:ascii="OpenDyslexic" w:hAnsi="OpenDyslexic"/>
          <w:sz w:val="28"/>
        </w:rPr>
        <w:t xml:space="preserve"> knowledge of the</w:t>
      </w:r>
      <w:r w:rsidR="00480E45">
        <w:rPr>
          <w:rFonts w:ascii="OpenDyslexic" w:hAnsi="OpenDyslexic"/>
          <w:sz w:val="28"/>
        </w:rPr>
        <w:t xml:space="preserve"> wee</w:t>
      </w:r>
      <w:r w:rsidR="00B529BA">
        <w:rPr>
          <w:rFonts w:ascii="OpenDyslexic" w:hAnsi="OpenDyslexic"/>
          <w:sz w:val="28"/>
        </w:rPr>
        <w:t>kly focus spellings throughout the week.</w:t>
      </w:r>
    </w:p>
    <w:tbl>
      <w:tblPr>
        <w:tblStyle w:val="TableGrid"/>
        <w:tblpPr w:leftFromText="180" w:rightFromText="180" w:vertAnchor="page" w:horzAnchor="margin" w:tblpY="3481"/>
        <w:tblW w:w="0" w:type="auto"/>
        <w:tblLook w:val="04A0" w:firstRow="1" w:lastRow="0" w:firstColumn="1" w:lastColumn="0" w:noHBand="0" w:noVBand="1"/>
      </w:tblPr>
      <w:tblGrid>
        <w:gridCol w:w="2310"/>
        <w:gridCol w:w="2862"/>
        <w:gridCol w:w="2870"/>
        <w:gridCol w:w="2515"/>
        <w:gridCol w:w="2386"/>
        <w:gridCol w:w="2445"/>
      </w:tblGrid>
      <w:tr w:rsidR="00887DFC" w14:paraId="523B582D" w14:textId="77777777" w:rsidTr="001137ED">
        <w:tc>
          <w:tcPr>
            <w:tcW w:w="2310" w:type="dxa"/>
            <w:shd w:val="clear" w:color="auto" w:fill="DEEAF6" w:themeFill="accent1" w:themeFillTint="33"/>
          </w:tcPr>
          <w:p w14:paraId="56CE06C3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1</w:t>
            </w:r>
          </w:p>
          <w:p w14:paraId="38E65655" w14:textId="1CC032C4" w:rsidR="00706973" w:rsidRPr="00706973" w:rsidRDefault="00706973" w:rsidP="00B33B0F">
            <w:pPr>
              <w:jc w:val="center"/>
              <w:rPr>
                <w:rFonts w:ascii="OpenDyslexic" w:hAnsi="OpenDyslexic"/>
              </w:rPr>
            </w:pPr>
            <w:r w:rsidRPr="00CC45F2">
              <w:rPr>
                <w:rFonts w:ascii="OpenDyslexic" w:hAnsi="OpenDyslexic"/>
                <w:highlight w:val="yellow"/>
              </w:rPr>
              <w:t xml:space="preserve">WB </w:t>
            </w:r>
            <w:r w:rsidR="001A3D3D">
              <w:rPr>
                <w:rFonts w:ascii="OpenDyslexic" w:hAnsi="OpenDyslexic"/>
                <w:highlight w:val="yellow"/>
              </w:rPr>
              <w:t>17.4</w:t>
            </w:r>
            <w:r w:rsidR="00CC45F2" w:rsidRPr="00CC45F2">
              <w:rPr>
                <w:rFonts w:ascii="OpenDyslexic" w:hAnsi="OpenDyslexic"/>
                <w:highlight w:val="yellow"/>
              </w:rPr>
              <w:t>.23</w:t>
            </w:r>
          </w:p>
          <w:p w14:paraId="778ADF81" w14:textId="10A51F99" w:rsidR="00B33B0F" w:rsidRDefault="00CC45F2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Statutory spelling words</w:t>
            </w:r>
          </w:p>
        </w:tc>
        <w:tc>
          <w:tcPr>
            <w:tcW w:w="2862" w:type="dxa"/>
            <w:shd w:val="clear" w:color="auto" w:fill="DEEAF6" w:themeFill="accent1" w:themeFillTint="33"/>
          </w:tcPr>
          <w:p w14:paraId="25AD55E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2</w:t>
            </w:r>
          </w:p>
          <w:p w14:paraId="05C4F9C0" w14:textId="253483C2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563E0E">
              <w:rPr>
                <w:rFonts w:ascii="OpenDyslexic" w:hAnsi="OpenDyslexic"/>
                <w:highlight w:val="yellow"/>
              </w:rPr>
              <w:t xml:space="preserve">WB </w:t>
            </w:r>
            <w:r w:rsidR="000A69F4">
              <w:rPr>
                <w:rFonts w:ascii="OpenDyslexic" w:hAnsi="OpenDyslexic"/>
                <w:highlight w:val="yellow"/>
              </w:rPr>
              <w:t>24</w:t>
            </w:r>
            <w:r w:rsidR="00563E0E" w:rsidRPr="00563E0E">
              <w:rPr>
                <w:rFonts w:ascii="OpenDyslexic" w:hAnsi="OpenDyslexic"/>
                <w:highlight w:val="yellow"/>
              </w:rPr>
              <w:t>.2.23</w:t>
            </w:r>
          </w:p>
          <w:p w14:paraId="70AE0022" w14:textId="2F2A6E71" w:rsidR="00B33B0F" w:rsidRPr="00CC45F2" w:rsidRDefault="00CC45F2" w:rsidP="000A69F4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Words </w:t>
            </w:r>
            <w:r w:rsidR="00563E0E">
              <w:rPr>
                <w:rFonts w:ascii="OpenDyslexic" w:hAnsi="OpenDyslexic"/>
                <w:color w:val="FF0000"/>
                <w:sz w:val="18"/>
                <w:szCs w:val="18"/>
              </w:rPr>
              <w:t xml:space="preserve">the </w:t>
            </w:r>
            <w:r w:rsidR="000A69F4">
              <w:rPr>
                <w:rFonts w:ascii="OpenDyslexic" w:hAnsi="OpenDyslexic"/>
                <w:color w:val="FF0000"/>
                <w:sz w:val="18"/>
                <w:szCs w:val="18"/>
              </w:rPr>
              <w:t>/s/ sound spelt ‘</w:t>
            </w:r>
            <w:proofErr w:type="spellStart"/>
            <w:r w:rsidR="000A69F4">
              <w:rPr>
                <w:rFonts w:ascii="OpenDyslexic" w:hAnsi="OpenDyslexic"/>
                <w:color w:val="FF0000"/>
                <w:sz w:val="18"/>
                <w:szCs w:val="18"/>
              </w:rPr>
              <w:t>sc</w:t>
            </w:r>
            <w:proofErr w:type="spellEnd"/>
            <w:r w:rsidR="000A69F4">
              <w:rPr>
                <w:rFonts w:ascii="OpenDyslexic" w:hAnsi="OpenDyslexic"/>
                <w:color w:val="FF0000"/>
                <w:sz w:val="18"/>
                <w:szCs w:val="18"/>
              </w:rPr>
              <w:t>’</w:t>
            </w:r>
            <w:r>
              <w:rPr>
                <w:rFonts w:ascii="OpenDyslexic" w:hAnsi="OpenDyslexic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70" w:type="dxa"/>
            <w:shd w:val="clear" w:color="auto" w:fill="DEEAF6" w:themeFill="accent1" w:themeFillTint="33"/>
          </w:tcPr>
          <w:p w14:paraId="5E47F9D5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3</w:t>
            </w:r>
          </w:p>
          <w:p w14:paraId="0A48465C" w14:textId="5F789344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 w:rsidRPr="002A46A8">
              <w:rPr>
                <w:rFonts w:ascii="OpenDyslexic" w:hAnsi="OpenDyslexic"/>
                <w:highlight w:val="yellow"/>
              </w:rPr>
              <w:t xml:space="preserve">WB </w:t>
            </w:r>
            <w:r w:rsidR="001D1BC1">
              <w:rPr>
                <w:rFonts w:ascii="OpenDyslexic" w:hAnsi="OpenDyslexic"/>
                <w:highlight w:val="yellow"/>
              </w:rPr>
              <w:t>1.5</w:t>
            </w:r>
            <w:r w:rsidR="00563E0E" w:rsidRPr="00563E0E">
              <w:rPr>
                <w:rFonts w:ascii="OpenDyslexic" w:hAnsi="OpenDyslexic"/>
                <w:highlight w:val="yellow"/>
              </w:rPr>
              <w:t>.23</w:t>
            </w:r>
          </w:p>
          <w:p w14:paraId="11BFF311" w14:textId="5F976DC0" w:rsidR="00887DFC" w:rsidRPr="00563E0E" w:rsidRDefault="00B009C3" w:rsidP="00B009C3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>
              <w:rPr>
                <w:rFonts w:ascii="OpenDyslexic" w:hAnsi="OpenDyslexic"/>
                <w:color w:val="FF0000"/>
                <w:sz w:val="18"/>
                <w:szCs w:val="18"/>
              </w:rPr>
              <w:t>Re-capping w</w:t>
            </w:r>
            <w:r w:rsidR="00887DFC">
              <w:rPr>
                <w:rFonts w:ascii="OpenDyslexic" w:hAnsi="OpenDyslexic"/>
                <w:color w:val="FF0000"/>
                <w:sz w:val="18"/>
                <w:szCs w:val="18"/>
              </w:rPr>
              <w:t xml:space="preserve">ords ending </w:t>
            </w:r>
            <w:r w:rsidR="001D1BC1">
              <w:rPr>
                <w:rFonts w:ascii="OpenDyslexic" w:hAnsi="OpenDyslexic"/>
                <w:color w:val="FF0000"/>
                <w:sz w:val="18"/>
                <w:szCs w:val="18"/>
              </w:rPr>
              <w:t>/shun/ sound</w:t>
            </w:r>
            <w:r w:rsidR="006E6131">
              <w:rPr>
                <w:rFonts w:ascii="OpenDyslexic" w:hAnsi="OpenDyslexic"/>
                <w:color w:val="FF0000"/>
                <w:sz w:val="18"/>
                <w:szCs w:val="18"/>
              </w:rPr>
              <w:t xml:space="preserve"> spelt ‘-</w:t>
            </w:r>
            <w:proofErr w:type="spellStart"/>
            <w:r w:rsidR="006E6131">
              <w:rPr>
                <w:rFonts w:ascii="OpenDyslexic" w:hAnsi="OpenDyslexic"/>
                <w:color w:val="FF0000"/>
                <w:sz w:val="18"/>
                <w:szCs w:val="18"/>
              </w:rPr>
              <w:t>sion</w:t>
            </w:r>
            <w:proofErr w:type="spellEnd"/>
            <w:r w:rsidR="006E6131">
              <w:rPr>
                <w:rFonts w:ascii="OpenDyslexic" w:hAnsi="OpenDyslexic"/>
                <w:color w:val="FF0000"/>
                <w:sz w:val="18"/>
                <w:szCs w:val="18"/>
              </w:rPr>
              <w:t>’</w:t>
            </w:r>
          </w:p>
        </w:tc>
        <w:tc>
          <w:tcPr>
            <w:tcW w:w="2515" w:type="dxa"/>
            <w:shd w:val="clear" w:color="auto" w:fill="DEEAF6" w:themeFill="accent1" w:themeFillTint="33"/>
          </w:tcPr>
          <w:p w14:paraId="0BDC9D22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4</w:t>
            </w:r>
          </w:p>
          <w:p w14:paraId="2984DF8B" w14:textId="248B0CB0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1D1BC1">
              <w:rPr>
                <w:rFonts w:ascii="OpenDyslexic" w:hAnsi="OpenDyslexic"/>
                <w:highlight w:val="yellow"/>
              </w:rPr>
              <w:t>8.5</w:t>
            </w:r>
            <w:r w:rsidR="00563E0E">
              <w:rPr>
                <w:rFonts w:ascii="OpenDyslexic" w:hAnsi="OpenDyslexic"/>
                <w:highlight w:val="yellow"/>
              </w:rPr>
              <w:t>.23</w:t>
            </w:r>
          </w:p>
          <w:p w14:paraId="07C151B2" w14:textId="50859169" w:rsidR="008B209C" w:rsidRPr="00887DFC" w:rsidRDefault="00B009C3" w:rsidP="00B009C3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Re-capping a</w:t>
            </w:r>
            <w:r w:rsidR="001D1BC1">
              <w:rPr>
                <w:rFonts w:ascii="OpenDyslexic" w:hAnsi="OpenDyslexic"/>
                <w:color w:val="FF0000"/>
                <w:sz w:val="18"/>
              </w:rPr>
              <w:t>postrophes for possession</w:t>
            </w:r>
            <w:r w:rsidR="00887DFC">
              <w:rPr>
                <w:rFonts w:ascii="OpenDyslexic" w:hAnsi="OpenDyslexic"/>
                <w:color w:val="FF0000"/>
                <w:sz w:val="18"/>
              </w:rPr>
              <w:t xml:space="preserve"> </w:t>
            </w:r>
          </w:p>
        </w:tc>
        <w:tc>
          <w:tcPr>
            <w:tcW w:w="2386" w:type="dxa"/>
            <w:shd w:val="clear" w:color="auto" w:fill="DEEAF6" w:themeFill="accent1" w:themeFillTint="33"/>
          </w:tcPr>
          <w:p w14:paraId="1E67D0BD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 5</w:t>
            </w:r>
          </w:p>
          <w:p w14:paraId="0FBFA98C" w14:textId="0BD74C62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B009C3">
              <w:rPr>
                <w:rFonts w:ascii="OpenDyslexic" w:hAnsi="OpenDyslexic"/>
                <w:highlight w:val="yellow"/>
              </w:rPr>
              <w:t>15</w:t>
            </w:r>
            <w:r w:rsidR="003C515E">
              <w:rPr>
                <w:rFonts w:ascii="OpenDyslexic" w:hAnsi="OpenDyslexic"/>
                <w:highlight w:val="yellow"/>
              </w:rPr>
              <w:t>.5</w:t>
            </w:r>
            <w:r w:rsidR="008C1D41">
              <w:rPr>
                <w:rFonts w:ascii="OpenDyslexic" w:hAnsi="OpenDyslexic"/>
                <w:highlight w:val="yellow"/>
              </w:rPr>
              <w:t>.23</w:t>
            </w:r>
          </w:p>
          <w:p w14:paraId="0982374C" w14:textId="530339D1" w:rsidR="00887DFC" w:rsidRDefault="00B009C3" w:rsidP="00887DFC">
            <w:pPr>
              <w:jc w:val="center"/>
              <w:rPr>
                <w:rFonts w:ascii="OpenDyslexic" w:hAnsi="OpenDyslexic"/>
                <w:color w:val="FF0000"/>
                <w:sz w:val="18"/>
              </w:rPr>
            </w:pPr>
            <w:r>
              <w:rPr>
                <w:rFonts w:ascii="OpenDyslexic" w:hAnsi="OpenDyslexic"/>
                <w:color w:val="FF0000"/>
                <w:sz w:val="18"/>
              </w:rPr>
              <w:t>Re-capping homophones</w:t>
            </w:r>
            <w:r w:rsidR="001137ED">
              <w:rPr>
                <w:rFonts w:ascii="OpenDyslexic" w:hAnsi="OpenDyslexic"/>
                <w:color w:val="FF0000"/>
                <w:sz w:val="18"/>
              </w:rPr>
              <w:t xml:space="preserve"> and near homophones</w:t>
            </w:r>
          </w:p>
          <w:p w14:paraId="46D80CE4" w14:textId="63900CEA" w:rsidR="00B33B0F" w:rsidRPr="00887DFC" w:rsidRDefault="00B33B0F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</w:p>
        </w:tc>
        <w:tc>
          <w:tcPr>
            <w:tcW w:w="2445" w:type="dxa"/>
            <w:shd w:val="clear" w:color="auto" w:fill="DEEAF6" w:themeFill="accent1" w:themeFillTint="33"/>
          </w:tcPr>
          <w:p w14:paraId="69736709" w14:textId="77777777" w:rsidR="00B33B0F" w:rsidRDefault="00B33B0F" w:rsidP="00B33B0F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Week6</w:t>
            </w:r>
          </w:p>
          <w:p w14:paraId="0B44A6CE" w14:textId="4D769530" w:rsidR="00706973" w:rsidRPr="00706973" w:rsidRDefault="00706973" w:rsidP="00706973">
            <w:pPr>
              <w:jc w:val="center"/>
              <w:rPr>
                <w:rFonts w:ascii="OpenDyslexic" w:hAnsi="OpenDyslexic"/>
              </w:rPr>
            </w:pPr>
            <w:r>
              <w:rPr>
                <w:rFonts w:ascii="OpenDyslexic" w:hAnsi="OpenDyslexic"/>
                <w:highlight w:val="yellow"/>
              </w:rPr>
              <w:t xml:space="preserve">WB </w:t>
            </w:r>
            <w:r w:rsidR="00B009C3">
              <w:rPr>
                <w:rFonts w:ascii="OpenDyslexic" w:hAnsi="OpenDyslexic"/>
                <w:highlight w:val="yellow"/>
              </w:rPr>
              <w:t>22</w:t>
            </w:r>
            <w:r w:rsidR="007628F5">
              <w:rPr>
                <w:rFonts w:ascii="OpenDyslexic" w:hAnsi="OpenDyslexic"/>
                <w:highlight w:val="yellow"/>
              </w:rPr>
              <w:t>.</w:t>
            </w:r>
            <w:r w:rsidR="00121989">
              <w:rPr>
                <w:rFonts w:ascii="OpenDyslexic" w:hAnsi="OpenDyslexic"/>
                <w:highlight w:val="yellow"/>
              </w:rPr>
              <w:t>5</w:t>
            </w:r>
            <w:r w:rsidR="007628F5">
              <w:rPr>
                <w:rFonts w:ascii="OpenDyslexic" w:hAnsi="OpenDyslexic"/>
                <w:highlight w:val="yellow"/>
              </w:rPr>
              <w:t>.</w:t>
            </w:r>
            <w:r w:rsidR="008C1D41">
              <w:rPr>
                <w:rFonts w:ascii="OpenDyslexic" w:hAnsi="OpenDyslexic"/>
                <w:highlight w:val="yellow"/>
              </w:rPr>
              <w:t>23</w:t>
            </w:r>
          </w:p>
          <w:p w14:paraId="626C5F67" w14:textId="77777777" w:rsidR="00B33B0F" w:rsidRDefault="008C1D41" w:rsidP="00B33B0F">
            <w:pPr>
              <w:jc w:val="center"/>
              <w:rPr>
                <w:rFonts w:ascii="OpenDyslexic" w:hAnsi="OpenDyslexic"/>
                <w:color w:val="FF0000"/>
                <w:sz w:val="20"/>
              </w:rPr>
            </w:pPr>
            <w:r>
              <w:rPr>
                <w:rFonts w:ascii="OpenDyslexic" w:hAnsi="OpenDyslexic"/>
                <w:color w:val="FF0000"/>
                <w:sz w:val="20"/>
              </w:rPr>
              <w:t>Statutory spelling</w:t>
            </w:r>
          </w:p>
          <w:p w14:paraId="63BFDAD7" w14:textId="2322F933" w:rsidR="008C1D41" w:rsidRPr="008C1D41" w:rsidRDefault="008C1D41" w:rsidP="00B33B0F">
            <w:pPr>
              <w:jc w:val="center"/>
              <w:rPr>
                <w:rFonts w:ascii="OpenDyslexic" w:hAnsi="OpenDyslexic"/>
                <w:color w:val="FF0000"/>
                <w:sz w:val="18"/>
                <w:szCs w:val="18"/>
              </w:rPr>
            </w:pPr>
            <w:r w:rsidRPr="008C1D41">
              <w:rPr>
                <w:rFonts w:ascii="OpenDyslexic" w:hAnsi="OpenDyslexic"/>
                <w:color w:val="FF0000"/>
                <w:sz w:val="18"/>
                <w:szCs w:val="18"/>
              </w:rPr>
              <w:t>words</w:t>
            </w:r>
          </w:p>
        </w:tc>
      </w:tr>
      <w:tr w:rsidR="001137ED" w14:paraId="484CCF7F" w14:textId="77777777" w:rsidTr="001137ED">
        <w:tc>
          <w:tcPr>
            <w:tcW w:w="2310" w:type="dxa"/>
          </w:tcPr>
          <w:p w14:paraId="49B289AB" w14:textId="396E6487" w:rsidR="001137ED" w:rsidRPr="001137ED" w:rsidRDefault="001137ED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calendar</w:t>
            </w:r>
          </w:p>
        </w:tc>
        <w:tc>
          <w:tcPr>
            <w:tcW w:w="2862" w:type="dxa"/>
          </w:tcPr>
          <w:p w14:paraId="61583E5C" w14:textId="6B33D70E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sc</w:t>
            </w:r>
            <w:r w:rsidRPr="001D1BC1">
              <w:rPr>
                <w:rFonts w:ascii="OpenDyslexic" w:hAnsi="OpenDyslexic"/>
                <w:sz w:val="40"/>
              </w:rPr>
              <w:t>ience</w:t>
            </w:r>
          </w:p>
        </w:tc>
        <w:tc>
          <w:tcPr>
            <w:tcW w:w="2870" w:type="dxa"/>
          </w:tcPr>
          <w:p w14:paraId="115D3614" w14:textId="6C38C8C9" w:rsidR="001137ED" w:rsidRPr="001D1BC1" w:rsidRDefault="006E6131" w:rsidP="001137ED">
            <w:pPr>
              <w:jc w:val="center"/>
              <w:rPr>
                <w:rFonts w:ascii="OpenDyslexic" w:hAnsi="OpenDyslexic"/>
                <w:sz w:val="40"/>
                <w:szCs w:val="40"/>
              </w:rPr>
            </w:pPr>
            <w:r>
              <w:rPr>
                <w:rFonts w:ascii="OpenDyslexic" w:hAnsi="OpenDyslexic"/>
                <w:sz w:val="40"/>
                <w:szCs w:val="40"/>
              </w:rPr>
              <w:t>divi</w:t>
            </w:r>
            <w:r w:rsidRPr="0000067D">
              <w:rPr>
                <w:rFonts w:ascii="OpenDyslexic" w:hAnsi="OpenDyslexic"/>
                <w:color w:val="FF0000"/>
                <w:sz w:val="40"/>
                <w:szCs w:val="40"/>
              </w:rPr>
              <w:t>sion</w:t>
            </w:r>
          </w:p>
        </w:tc>
        <w:tc>
          <w:tcPr>
            <w:tcW w:w="2515" w:type="dxa"/>
          </w:tcPr>
          <w:p w14:paraId="3FF04AE6" w14:textId="18076B5A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men’s</w:t>
            </w:r>
          </w:p>
        </w:tc>
        <w:tc>
          <w:tcPr>
            <w:tcW w:w="2386" w:type="dxa"/>
          </w:tcPr>
          <w:p w14:paraId="007624C9" w14:textId="08E1B88F" w:rsidR="001137ED" w:rsidRPr="0002705A" w:rsidRDefault="0002705A" w:rsidP="001137ED">
            <w:pPr>
              <w:jc w:val="center"/>
              <w:rPr>
                <w:rFonts w:ascii="OpenDyslexic" w:hAnsi="OpenDyslexic"/>
                <w:sz w:val="28"/>
                <w:szCs w:val="28"/>
              </w:rPr>
            </w:pPr>
            <w:r w:rsidRPr="0002705A">
              <w:rPr>
                <w:rFonts w:ascii="OpenDyslexic" w:hAnsi="OpenDyslexic"/>
                <w:sz w:val="32"/>
                <w:szCs w:val="32"/>
              </w:rPr>
              <w:t xml:space="preserve"> </w:t>
            </w:r>
            <w:bookmarkStart w:id="0" w:name="_GoBack"/>
            <w:r w:rsidRPr="0002705A">
              <w:rPr>
                <w:rFonts w:ascii="OpenDyslexic" w:hAnsi="OpenDyslexic"/>
                <w:sz w:val="28"/>
                <w:szCs w:val="28"/>
              </w:rPr>
              <w:t>peace / piece</w:t>
            </w:r>
            <w:bookmarkEnd w:id="0"/>
          </w:p>
        </w:tc>
        <w:tc>
          <w:tcPr>
            <w:tcW w:w="2445" w:type="dxa"/>
          </w:tcPr>
          <w:p w14:paraId="4F6DF495" w14:textId="6FA73A8E" w:rsidR="001137ED" w:rsidRP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history</w:t>
            </w:r>
          </w:p>
        </w:tc>
      </w:tr>
      <w:tr w:rsidR="001137ED" w14:paraId="01B0E5D0" w14:textId="77777777" w:rsidTr="001137ED">
        <w:tc>
          <w:tcPr>
            <w:tcW w:w="2310" w:type="dxa"/>
          </w:tcPr>
          <w:p w14:paraId="45C1187F" w14:textId="124C9C0B" w:rsidR="001137ED" w:rsidRPr="001137ED" w:rsidRDefault="001137ED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centre</w:t>
            </w:r>
          </w:p>
        </w:tc>
        <w:tc>
          <w:tcPr>
            <w:tcW w:w="2862" w:type="dxa"/>
          </w:tcPr>
          <w:p w14:paraId="1BD5A66B" w14:textId="5458001A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sc</w:t>
            </w:r>
            <w:r w:rsidRPr="001D1BC1">
              <w:rPr>
                <w:rFonts w:ascii="OpenDyslexic" w:hAnsi="OpenDyslexic"/>
                <w:sz w:val="40"/>
              </w:rPr>
              <w:t>issors</w:t>
            </w:r>
          </w:p>
        </w:tc>
        <w:tc>
          <w:tcPr>
            <w:tcW w:w="2870" w:type="dxa"/>
          </w:tcPr>
          <w:p w14:paraId="6E5E0806" w14:textId="51FB8CFA" w:rsidR="001137ED" w:rsidRPr="00887DFC" w:rsidRDefault="0000067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exten</w:t>
            </w:r>
            <w:r w:rsidRPr="0000067D">
              <w:rPr>
                <w:rFonts w:ascii="OpenDyslexic" w:hAnsi="OpenDyslexic"/>
                <w:color w:val="FF0000"/>
                <w:sz w:val="40"/>
              </w:rPr>
              <w:t>sion</w:t>
            </w:r>
          </w:p>
        </w:tc>
        <w:tc>
          <w:tcPr>
            <w:tcW w:w="2515" w:type="dxa"/>
          </w:tcPr>
          <w:p w14:paraId="2866AE04" w14:textId="73DB24F1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children’s</w:t>
            </w:r>
          </w:p>
        </w:tc>
        <w:tc>
          <w:tcPr>
            <w:tcW w:w="2386" w:type="dxa"/>
          </w:tcPr>
          <w:p w14:paraId="062E8F39" w14:textId="4B4C9A18" w:rsidR="001137ED" w:rsidRPr="0002705A" w:rsidRDefault="0002705A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02705A">
              <w:rPr>
                <w:rFonts w:ascii="OpenDyslexic" w:hAnsi="OpenDyslexic"/>
                <w:sz w:val="32"/>
                <w:szCs w:val="32"/>
              </w:rPr>
              <w:t>main / mane</w:t>
            </w:r>
          </w:p>
        </w:tc>
        <w:tc>
          <w:tcPr>
            <w:tcW w:w="2445" w:type="dxa"/>
          </w:tcPr>
          <w:p w14:paraId="433920EC" w14:textId="6FBDF4CA" w:rsidR="001137ED" w:rsidRP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interest</w:t>
            </w:r>
          </w:p>
        </w:tc>
      </w:tr>
      <w:tr w:rsidR="001137ED" w14:paraId="0CFCD724" w14:textId="77777777" w:rsidTr="001137ED">
        <w:tc>
          <w:tcPr>
            <w:tcW w:w="2310" w:type="dxa"/>
          </w:tcPr>
          <w:p w14:paraId="7A6D1B80" w14:textId="64EE8152" w:rsidR="001137ED" w:rsidRPr="001137ED" w:rsidRDefault="001137ED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earth</w:t>
            </w:r>
          </w:p>
        </w:tc>
        <w:tc>
          <w:tcPr>
            <w:tcW w:w="2862" w:type="dxa"/>
          </w:tcPr>
          <w:p w14:paraId="46C4ED85" w14:textId="4659B918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 w:rsidRPr="001D1BC1">
              <w:rPr>
                <w:rFonts w:ascii="OpenDyslexic" w:hAnsi="OpenDyslexic"/>
                <w:sz w:val="40"/>
              </w:rPr>
              <w:t>de</w:t>
            </w:r>
            <w:r>
              <w:rPr>
                <w:rFonts w:ascii="OpenDyslexic" w:hAnsi="OpenDyslexic"/>
                <w:color w:val="FF0000"/>
                <w:sz w:val="40"/>
              </w:rPr>
              <w:t>sc</w:t>
            </w:r>
            <w:r w:rsidRPr="001D1BC1">
              <w:rPr>
                <w:rFonts w:ascii="OpenDyslexic" w:hAnsi="OpenDyslexic"/>
                <w:sz w:val="40"/>
              </w:rPr>
              <w:t>end</w:t>
            </w:r>
          </w:p>
        </w:tc>
        <w:tc>
          <w:tcPr>
            <w:tcW w:w="2870" w:type="dxa"/>
          </w:tcPr>
          <w:p w14:paraId="0BD8E701" w14:textId="509B5E71" w:rsidR="001137ED" w:rsidRPr="00887DFC" w:rsidRDefault="0000067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conclu</w:t>
            </w:r>
            <w:r w:rsidRPr="0000067D">
              <w:rPr>
                <w:rFonts w:ascii="OpenDyslexic" w:hAnsi="OpenDyslexic"/>
                <w:color w:val="FF0000"/>
                <w:sz w:val="40"/>
              </w:rPr>
              <w:t>sion</w:t>
            </w:r>
          </w:p>
        </w:tc>
        <w:tc>
          <w:tcPr>
            <w:tcW w:w="2515" w:type="dxa"/>
          </w:tcPr>
          <w:p w14:paraId="1B22C31E" w14:textId="4A0ADC57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girls’</w:t>
            </w:r>
          </w:p>
        </w:tc>
        <w:tc>
          <w:tcPr>
            <w:tcW w:w="2386" w:type="dxa"/>
          </w:tcPr>
          <w:p w14:paraId="1FA420C1" w14:textId="5520945B" w:rsidR="001137ED" w:rsidRPr="0002705A" w:rsidRDefault="0002705A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02705A">
              <w:rPr>
                <w:rFonts w:ascii="OpenDyslexic" w:hAnsi="OpenDyslexic"/>
                <w:sz w:val="32"/>
                <w:szCs w:val="32"/>
              </w:rPr>
              <w:t>fare / fair</w:t>
            </w:r>
          </w:p>
        </w:tc>
        <w:tc>
          <w:tcPr>
            <w:tcW w:w="2445" w:type="dxa"/>
          </w:tcPr>
          <w:p w14:paraId="76895132" w14:textId="6A64FC9E" w:rsidR="001137ED" w:rsidRP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island</w:t>
            </w:r>
          </w:p>
        </w:tc>
      </w:tr>
      <w:tr w:rsidR="001137ED" w14:paraId="04E0BCE8" w14:textId="77777777" w:rsidTr="001137ED">
        <w:tc>
          <w:tcPr>
            <w:tcW w:w="2310" w:type="dxa"/>
          </w:tcPr>
          <w:p w14:paraId="5AD629D0" w14:textId="45C76652" w:rsidR="001137ED" w:rsidRPr="001137ED" w:rsidRDefault="001137ED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height</w:t>
            </w:r>
          </w:p>
        </w:tc>
        <w:tc>
          <w:tcPr>
            <w:tcW w:w="2862" w:type="dxa"/>
          </w:tcPr>
          <w:p w14:paraId="650EF111" w14:textId="01682D4B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color w:val="FF0000"/>
                <w:sz w:val="40"/>
              </w:rPr>
              <w:t>sc</w:t>
            </w:r>
            <w:r w:rsidRPr="001D1BC1">
              <w:rPr>
                <w:rFonts w:ascii="OpenDyslexic" w:hAnsi="OpenDyslexic"/>
                <w:sz w:val="40"/>
              </w:rPr>
              <w:t>ene</w:t>
            </w:r>
          </w:p>
        </w:tc>
        <w:tc>
          <w:tcPr>
            <w:tcW w:w="2870" w:type="dxa"/>
          </w:tcPr>
          <w:p w14:paraId="09431795" w14:textId="059A77FA" w:rsidR="001137ED" w:rsidRPr="00887DFC" w:rsidRDefault="0000067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36"/>
                <w:szCs w:val="36"/>
              </w:rPr>
              <w:t>intru</w:t>
            </w:r>
            <w:r w:rsidRPr="0000067D">
              <w:rPr>
                <w:rFonts w:ascii="OpenDyslexic" w:hAnsi="OpenDyslexic"/>
                <w:color w:val="FF0000"/>
                <w:sz w:val="36"/>
                <w:szCs w:val="36"/>
              </w:rPr>
              <w:t>sion</w:t>
            </w:r>
          </w:p>
        </w:tc>
        <w:tc>
          <w:tcPr>
            <w:tcW w:w="2515" w:type="dxa"/>
          </w:tcPr>
          <w:p w14:paraId="6DEC7303" w14:textId="51539744" w:rsid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>
              <w:rPr>
                <w:rFonts w:ascii="OpenDyslexic" w:hAnsi="OpenDyslexic"/>
                <w:sz w:val="40"/>
              </w:rPr>
              <w:t>boys’</w:t>
            </w:r>
          </w:p>
        </w:tc>
        <w:tc>
          <w:tcPr>
            <w:tcW w:w="2386" w:type="dxa"/>
          </w:tcPr>
          <w:p w14:paraId="230529A9" w14:textId="101E6057" w:rsidR="001137ED" w:rsidRPr="0002705A" w:rsidRDefault="0002705A" w:rsidP="001137ED">
            <w:pPr>
              <w:jc w:val="center"/>
              <w:rPr>
                <w:rFonts w:ascii="OpenDyslexic" w:hAnsi="OpenDyslexic"/>
                <w:sz w:val="32"/>
                <w:szCs w:val="32"/>
              </w:rPr>
            </w:pPr>
            <w:r w:rsidRPr="0002705A">
              <w:rPr>
                <w:rFonts w:ascii="OpenDyslexic" w:hAnsi="OpenDyslexic"/>
                <w:sz w:val="32"/>
                <w:szCs w:val="32"/>
              </w:rPr>
              <w:t>deer / dear</w:t>
            </w:r>
          </w:p>
        </w:tc>
        <w:tc>
          <w:tcPr>
            <w:tcW w:w="2445" w:type="dxa"/>
          </w:tcPr>
          <w:p w14:paraId="181BFDB5" w14:textId="024FD395" w:rsidR="001137ED" w:rsidRPr="001137ED" w:rsidRDefault="001137ED" w:rsidP="001137ED">
            <w:pPr>
              <w:jc w:val="center"/>
              <w:rPr>
                <w:rFonts w:ascii="OpenDyslexic" w:hAnsi="OpenDyslexic"/>
                <w:sz w:val="40"/>
              </w:rPr>
            </w:pPr>
            <w:r w:rsidRPr="001137ED">
              <w:rPr>
                <w:rFonts w:ascii="OpenDyslexic" w:hAnsi="OpenDyslexic"/>
                <w:sz w:val="36"/>
                <w:szCs w:val="36"/>
              </w:rPr>
              <w:t>library</w:t>
            </w:r>
          </w:p>
        </w:tc>
      </w:tr>
    </w:tbl>
    <w:p w14:paraId="3CBBD3F1" w14:textId="77777777" w:rsidR="00B33B0F" w:rsidRDefault="00B33B0F" w:rsidP="004626FA">
      <w:pPr>
        <w:rPr>
          <w:rFonts w:ascii="OpenDyslexic" w:hAnsi="OpenDyslexic"/>
          <w:sz w:val="28"/>
        </w:rPr>
      </w:pPr>
      <w:r>
        <w:rPr>
          <w:rFonts w:ascii="OpenDyslexic" w:hAnsi="OpenDyslexic"/>
          <w:sz w:val="28"/>
        </w:rPr>
        <w:t>These focus words are a continuation of the learning that has taken place at school.  There is a limited number of words to enable deeper learning of increasingly complex words.</w:t>
      </w:r>
    </w:p>
    <w:p w14:paraId="0CBE9F38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07EED295" w14:textId="77777777" w:rsidR="00480E45" w:rsidRDefault="00480E45" w:rsidP="004626FA">
      <w:pPr>
        <w:rPr>
          <w:rFonts w:ascii="OpenDyslexic" w:hAnsi="OpenDyslexic"/>
          <w:sz w:val="28"/>
        </w:rPr>
      </w:pPr>
    </w:p>
    <w:p w14:paraId="70114A2F" w14:textId="77777777" w:rsidR="00480E45" w:rsidRDefault="00480E45" w:rsidP="004626FA">
      <w:pPr>
        <w:rPr>
          <w:rFonts w:ascii="OpenDyslexic" w:hAnsi="OpenDyslexic"/>
          <w:sz w:val="28"/>
        </w:rPr>
      </w:pPr>
      <w:r w:rsidRPr="00480E45">
        <w:rPr>
          <w:rFonts w:ascii="OpenDyslexic" w:hAnsi="OpenDyslexic"/>
          <w:noProof/>
          <w:sz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4E85C76C" wp14:editId="7D406B99">
            <wp:simplePos x="0" y="0"/>
            <wp:positionH relativeFrom="margin">
              <wp:align>right</wp:align>
            </wp:positionH>
            <wp:positionV relativeFrom="paragraph">
              <wp:posOffset>441960</wp:posOffset>
            </wp:positionV>
            <wp:extent cx="9777730" cy="5012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57E5C8" w14:textId="77777777" w:rsidR="00480E45" w:rsidRPr="00480E45" w:rsidRDefault="00480E45" w:rsidP="004626FA">
      <w:pPr>
        <w:rPr>
          <w:rFonts w:ascii="OpenDyslexic" w:hAnsi="OpenDyslexic"/>
          <w:sz w:val="28"/>
        </w:rPr>
      </w:pPr>
    </w:p>
    <w:p w14:paraId="61171B78" w14:textId="77777777" w:rsidR="00560A78" w:rsidRPr="004626FA" w:rsidRDefault="00560A78" w:rsidP="004626FA">
      <w:pPr>
        <w:rPr>
          <w:rFonts w:ascii="OpenDyslexic" w:hAnsi="OpenDyslexic"/>
          <w:sz w:val="40"/>
        </w:rPr>
      </w:pPr>
    </w:p>
    <w:sectPr w:rsidR="00560A78" w:rsidRPr="004626FA" w:rsidSect="00462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34"/>
    <w:rsid w:val="0000067D"/>
    <w:rsid w:val="0000078E"/>
    <w:rsid w:val="0002705A"/>
    <w:rsid w:val="00075134"/>
    <w:rsid w:val="000A69F4"/>
    <w:rsid w:val="001137ED"/>
    <w:rsid w:val="00121989"/>
    <w:rsid w:val="001A3D3D"/>
    <w:rsid w:val="001D1BC1"/>
    <w:rsid w:val="002A46A8"/>
    <w:rsid w:val="003A169C"/>
    <w:rsid w:val="003C515E"/>
    <w:rsid w:val="004626FA"/>
    <w:rsid w:val="00480E45"/>
    <w:rsid w:val="00553D48"/>
    <w:rsid w:val="005604E7"/>
    <w:rsid w:val="00560A78"/>
    <w:rsid w:val="00563E0E"/>
    <w:rsid w:val="0067640E"/>
    <w:rsid w:val="006E6131"/>
    <w:rsid w:val="00706973"/>
    <w:rsid w:val="007628F5"/>
    <w:rsid w:val="00887DFC"/>
    <w:rsid w:val="008B209C"/>
    <w:rsid w:val="008C1D41"/>
    <w:rsid w:val="008C7ECE"/>
    <w:rsid w:val="00AC05CF"/>
    <w:rsid w:val="00B009C3"/>
    <w:rsid w:val="00B33B0F"/>
    <w:rsid w:val="00B529BA"/>
    <w:rsid w:val="00CC45F2"/>
    <w:rsid w:val="00D1422C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7877"/>
  <w15:docId w15:val="{4F7C9F67-D332-4081-8681-152552B1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Samantha Tidball</cp:lastModifiedBy>
  <cp:revision>8</cp:revision>
  <cp:lastPrinted>2023-03-30T06:13:00Z</cp:lastPrinted>
  <dcterms:created xsi:type="dcterms:W3CDTF">2023-03-29T14:10:00Z</dcterms:created>
  <dcterms:modified xsi:type="dcterms:W3CDTF">2023-03-30T07:07:00Z</dcterms:modified>
</cp:coreProperties>
</file>