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114"/>
        <w:gridCol w:w="3118"/>
        <w:gridCol w:w="5103"/>
        <w:gridCol w:w="4111"/>
      </w:tblGrid>
      <w:tr w:rsidR="000F7C80" w:rsidRPr="00C95DBE" w:rsidTr="00420394">
        <w:tc>
          <w:tcPr>
            <w:tcW w:w="15446" w:type="dxa"/>
            <w:gridSpan w:val="4"/>
          </w:tcPr>
          <w:p w:rsidR="000F7C80" w:rsidRDefault="00420394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 w:rsidRPr="00420394">
              <w:rPr>
                <w:rFonts w:ascii="Century Gothic" w:hAnsi="Century Gothic"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8424545</wp:posOffset>
                  </wp:positionH>
                  <wp:positionV relativeFrom="paragraph">
                    <wp:posOffset>0</wp:posOffset>
                  </wp:positionV>
                  <wp:extent cx="1108075" cy="7893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C80" w:rsidRPr="00F27116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CD10CA" wp14:editId="4A09D6C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C80" w:rsidRPr="00C95DBE">
              <w:rPr>
                <w:rFonts w:ascii="Century Gothic" w:hAnsi="Century Gothic"/>
                <w:sz w:val="28"/>
                <w:u w:val="single"/>
              </w:rPr>
              <w:t xml:space="preserve"> Writing Overview</w:t>
            </w:r>
          </w:p>
          <w:p w:rsidR="000F7C80" w:rsidRDefault="003A41D4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u w:val="single"/>
              </w:rPr>
              <w:t>Year 3</w:t>
            </w:r>
          </w:p>
          <w:p w:rsidR="000F7C80" w:rsidRDefault="000F7C80" w:rsidP="00675F27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0F7C80" w:rsidRPr="00C95DBE" w:rsidRDefault="000F7C80" w:rsidP="00675F27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0F7C80" w:rsidRPr="00C95DBE" w:rsidTr="00420394">
        <w:tc>
          <w:tcPr>
            <w:tcW w:w="15446" w:type="dxa"/>
            <w:gridSpan w:val="4"/>
            <w:shd w:val="clear" w:color="auto" w:fill="70AD47" w:themeFill="accent6"/>
          </w:tcPr>
          <w:p w:rsidR="000F7C80" w:rsidRDefault="000F7C80" w:rsidP="00675F27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F86B4D">
              <w:rPr>
                <w:rFonts w:ascii="Century Gothic" w:hAnsi="Century Gothic"/>
                <w:b/>
                <w:sz w:val="24"/>
              </w:rPr>
              <w:t>Writing</w:t>
            </w:r>
          </w:p>
          <w:p w:rsidR="00713553" w:rsidRPr="00C95DBE" w:rsidRDefault="00713553" w:rsidP="00675F27">
            <w:pPr>
              <w:jc w:val="center"/>
              <w:rPr>
                <w:rFonts w:ascii="Century Gothic" w:hAnsi="Century Gothic"/>
                <w:b/>
              </w:rPr>
            </w:pPr>
            <w:r w:rsidRPr="00713553">
              <w:rPr>
                <w:rFonts w:ascii="Century Gothic" w:hAnsi="Century Gothic"/>
                <w:sz w:val="24"/>
                <w:u w:val="single"/>
              </w:rPr>
              <w:t>Terminology</w:t>
            </w:r>
            <w:r>
              <w:rPr>
                <w:rFonts w:ascii="Century Gothic" w:hAnsi="Century Gothic"/>
                <w:b/>
                <w:sz w:val="24"/>
              </w:rPr>
              <w:t xml:space="preserve">: </w:t>
            </w:r>
            <w:r w:rsidRPr="00713553">
              <w:rPr>
                <w:rFonts w:ascii="Century Gothic" w:hAnsi="Century Gothic"/>
              </w:rPr>
              <w:t>preposition, conjunction word family, prefix clause, subordinate clause direct speech consonant, consonant letter vowel, vowel letter inverted commas (or ‘speech marks’)</w:t>
            </w:r>
          </w:p>
        </w:tc>
      </w:tr>
      <w:tr w:rsidR="000F7C80" w:rsidRPr="00C95DBE" w:rsidTr="00420394">
        <w:tc>
          <w:tcPr>
            <w:tcW w:w="3114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Transcription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Vocabulary, Grammar and Punctuation</w:t>
            </w:r>
          </w:p>
        </w:tc>
      </w:tr>
      <w:tr w:rsidR="000F7C80" w:rsidRPr="00C95DBE" w:rsidTr="00420394">
        <w:tc>
          <w:tcPr>
            <w:tcW w:w="3114" w:type="dxa"/>
            <w:shd w:val="clear" w:color="auto" w:fill="FFFFFF" w:themeFill="background1"/>
          </w:tcPr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use further prefixes and suffixes and understand how to add them - see </w:t>
            </w:r>
            <w:hyperlink r:id="rId8" w:history="1">
              <w:r w:rsidRPr="00420394">
                <w:rPr>
                  <w:rFonts w:ascii="Century Gothic" w:eastAsia="Times New Roman" w:hAnsi="Century Gothic" w:cs="Arial"/>
                  <w:color w:val="4C2C92"/>
                  <w:sz w:val="18"/>
                  <w:szCs w:val="20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spell further homophones</w:t>
            </w:r>
          </w:p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spell words that are often misspelt - see </w:t>
            </w:r>
            <w:hyperlink r:id="rId9" w:history="1">
              <w:r w:rsidRPr="00420394">
                <w:rPr>
                  <w:rFonts w:ascii="Century Gothic" w:eastAsia="Times New Roman" w:hAnsi="Century Gothic" w:cs="Arial"/>
                  <w:color w:val="4C2C92"/>
                  <w:sz w:val="18"/>
                  <w:szCs w:val="20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place the possessive apostrophe accurately in words with regular plurals [for example, girls’, boys’] and in words with irregular plurals [for example, children’s]</w:t>
            </w:r>
          </w:p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use the first 2 or 3 letters of a word to check its spelling in a dictionary</w:t>
            </w:r>
          </w:p>
          <w:p w:rsidR="008730BE" w:rsidRPr="00420394" w:rsidRDefault="008730BE" w:rsidP="008730BE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write from memory simple sentences, dictated by the teacher, that include words and punctuation taught so far</w:t>
            </w:r>
          </w:p>
          <w:p w:rsidR="000F7C80" w:rsidRPr="00420394" w:rsidRDefault="000F7C80" w:rsidP="000F7C80">
            <w:pPr>
              <w:shd w:val="clear" w:color="auto" w:fill="FFFFFF"/>
              <w:spacing w:after="75"/>
              <w:jc w:val="bot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8730BE" w:rsidRPr="00420394" w:rsidRDefault="008730BE" w:rsidP="008730BE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use the diagonal and horizontal strokes that are needed to join letters and understand which letters, when adjacent to one another, are best left un</w:t>
            </w:r>
            <w:r w:rsidR="00420394"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-</w:t>
            </w: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joined</w:t>
            </w:r>
          </w:p>
          <w:p w:rsidR="008730BE" w:rsidRPr="00420394" w:rsidRDefault="008730BE" w:rsidP="008730BE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 xml:space="preserve">increase the legibility, consistency and quality of their handwriting, [for example, by ensuring that the </w:t>
            </w:r>
            <w:r w:rsidR="00420394"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down strokes</w:t>
            </w: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 xml:space="preserve"> of letters are parallel and equidistant, and that lines of writing are spaced sufficiently so that the ascenders and descenders of letters do not touch]</w:t>
            </w:r>
          </w:p>
          <w:p w:rsidR="000F7C80" w:rsidRPr="00420394" w:rsidRDefault="000F7C80" w:rsidP="00675F2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8730BE" w:rsidRPr="00420394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P</w:t>
            </w:r>
            <w:r w:rsidR="008730BE"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lan their writing by: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discussing and recording ideas</w:t>
            </w:r>
          </w:p>
          <w:p w:rsidR="008730BE" w:rsidRPr="00420394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D</w:t>
            </w:r>
            <w:r w:rsidR="008730BE"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raft and write by: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hyperlink r:id="rId10" w:history="1">
              <w:r w:rsidRPr="00420394">
                <w:rPr>
                  <w:rFonts w:ascii="Century Gothic" w:eastAsia="Times New Roman" w:hAnsi="Century Gothic" w:cs="Arial"/>
                  <w:color w:val="4C2C92"/>
                  <w:sz w:val="18"/>
                  <w:szCs w:val="20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organising paragraphs around a theme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in narratives, creating settings, characters and plot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in non-narrative material, using simple organisational devices [for example, headings and sub-headings]</w:t>
            </w:r>
          </w:p>
          <w:p w:rsidR="008730BE" w:rsidRPr="00420394" w:rsidRDefault="00713553" w:rsidP="00713553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E</w:t>
            </w:r>
            <w:r w:rsidR="008730BE"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valuate and edit by: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assessing the effectiveness of their own and others’ writing and suggesting improvements</w:t>
            </w:r>
          </w:p>
          <w:p w:rsidR="008730BE" w:rsidRPr="00420394" w:rsidRDefault="008730BE" w:rsidP="008730BE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proposing changes to grammar and vocabulary to improve consistency, including the accurate use of pronouns in sentences</w:t>
            </w:r>
          </w:p>
          <w:p w:rsidR="008730BE" w:rsidRPr="00420394" w:rsidRDefault="008730BE" w:rsidP="008730BE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proofread for spelling and punctuation errors</w:t>
            </w:r>
          </w:p>
          <w:p w:rsidR="008730BE" w:rsidRPr="00420394" w:rsidRDefault="008730BE" w:rsidP="008730BE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:rsidR="000F7C80" w:rsidRPr="00420394" w:rsidRDefault="000F7C80" w:rsidP="00675F2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extending the range of sentences with more than one clause by using a wider range of conjunctions, including: when, if, because, although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using the present perfect form of verbs in contrast to the past tense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choosing nouns or pronouns appropriately for clarity and cohesion and to avoid repetition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using conjunctions, adverbs and prepositions to express time and cause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using fronted adverbials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using commas after fronted adverbials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indicating possession by using the possessive apostrophe with plural nouns</w:t>
            </w:r>
          </w:p>
          <w:p w:rsidR="00713553" w:rsidRPr="00420394" w:rsidRDefault="00713553" w:rsidP="00713553">
            <w:pPr>
              <w:numPr>
                <w:ilvl w:val="0"/>
                <w:numId w:val="12"/>
              </w:num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  <w:r w:rsidRPr="00420394"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  <w:t>using and punctuating direct speech</w:t>
            </w:r>
          </w:p>
          <w:p w:rsidR="00713553" w:rsidRPr="00420394" w:rsidRDefault="00713553" w:rsidP="00713553">
            <w:p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8"/>
                <w:szCs w:val="20"/>
                <w:lang w:eastAsia="en-GB"/>
              </w:rPr>
            </w:pPr>
          </w:p>
          <w:p w:rsidR="000F7C80" w:rsidRPr="00420394" w:rsidRDefault="000F7C80" w:rsidP="00675F27">
            <w:pPr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:rsidR="006C5D4A" w:rsidRDefault="006C5D4A" w:rsidP="00420394">
      <w:pPr>
        <w:tabs>
          <w:tab w:val="left" w:pos="4284"/>
        </w:tabs>
      </w:pPr>
      <w:bookmarkStart w:id="0" w:name="_GoBack"/>
      <w:bookmarkEnd w:id="0"/>
    </w:p>
    <w:sectPr w:rsidR="006C5D4A" w:rsidSect="004203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258F8"/>
    <w:multiLevelType w:val="multilevel"/>
    <w:tmpl w:val="DCEC07F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C4EB5"/>
    <w:multiLevelType w:val="multilevel"/>
    <w:tmpl w:val="982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A13BAD"/>
    <w:multiLevelType w:val="multilevel"/>
    <w:tmpl w:val="1E2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4775FF"/>
    <w:multiLevelType w:val="multilevel"/>
    <w:tmpl w:val="21D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22762B"/>
    <w:multiLevelType w:val="multilevel"/>
    <w:tmpl w:val="1D98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625443"/>
    <w:multiLevelType w:val="multilevel"/>
    <w:tmpl w:val="907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896F0A"/>
    <w:multiLevelType w:val="multilevel"/>
    <w:tmpl w:val="484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0"/>
    <w:rsid w:val="000F7C80"/>
    <w:rsid w:val="003A41D4"/>
    <w:rsid w:val="00420394"/>
    <w:rsid w:val="006C5D4A"/>
    <w:rsid w:val="00713553"/>
    <w:rsid w:val="008730BE"/>
    <w:rsid w:val="009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1400"/>
  <w15:chartTrackingRefBased/>
  <w15:docId w15:val="{9FDB2674-D77A-4AA8-8B67-C960D73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3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239784/English_Appendix_1_-_Spelling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239784/English_Appendix_1_-_Spell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905E-81C5-45BC-B098-D5AC9C82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2023-03-30T12:34:00Z</dcterms:created>
  <dcterms:modified xsi:type="dcterms:W3CDTF">2023-03-30T12:34:00Z</dcterms:modified>
</cp:coreProperties>
</file>