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4361"/>
        <w:gridCol w:w="3828"/>
      </w:tblGrid>
      <w:tr w:rsidR="000F7C80" w:rsidRPr="00C95DBE" w:rsidTr="00366B0F">
        <w:tc>
          <w:tcPr>
            <w:tcW w:w="15163" w:type="dxa"/>
            <w:gridSpan w:val="4"/>
          </w:tcPr>
          <w:p w:rsidR="000F7C80" w:rsidRPr="00366B0F" w:rsidRDefault="00366B0F" w:rsidP="00366B0F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366B0F">
              <w:rPr>
                <w:rFonts w:ascii="Century Gothic" w:hAnsi="Century Gothic"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7100570</wp:posOffset>
                  </wp:positionH>
                  <wp:positionV relativeFrom="paragraph">
                    <wp:posOffset>52705</wp:posOffset>
                  </wp:positionV>
                  <wp:extent cx="1044575" cy="744220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C80" w:rsidRPr="00366B0F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CD10CA" wp14:editId="4A09D6C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C80" w:rsidRPr="00366B0F">
              <w:rPr>
                <w:rFonts w:ascii="Century Gothic" w:hAnsi="Century Gothic"/>
                <w:sz w:val="28"/>
                <w:u w:val="single"/>
              </w:rPr>
              <w:t>Writing Overview</w:t>
            </w:r>
          </w:p>
          <w:p w:rsidR="000F7C80" w:rsidRPr="00366B0F" w:rsidRDefault="002F3881" w:rsidP="00366B0F">
            <w:pPr>
              <w:tabs>
                <w:tab w:val="center" w:pos="5833"/>
                <w:tab w:val="right" w:pos="11667"/>
              </w:tabs>
              <w:jc w:val="center"/>
              <w:rPr>
                <w:rFonts w:ascii="Century Gothic" w:hAnsi="Century Gothic"/>
                <w:sz w:val="28"/>
              </w:rPr>
            </w:pPr>
            <w:r w:rsidRPr="00366B0F">
              <w:rPr>
                <w:rFonts w:ascii="Century Gothic" w:hAnsi="Century Gothic"/>
                <w:sz w:val="28"/>
                <w:u w:val="single"/>
              </w:rPr>
              <w:t>Year 4</w:t>
            </w:r>
          </w:p>
          <w:p w:rsidR="000F7C80" w:rsidRDefault="000F7C80" w:rsidP="00675F27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0F7C80" w:rsidRPr="00C95DBE" w:rsidRDefault="000F7C80" w:rsidP="00675F27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0F7C80" w:rsidRPr="00C95DBE" w:rsidTr="00366B0F">
        <w:tc>
          <w:tcPr>
            <w:tcW w:w="15163" w:type="dxa"/>
            <w:gridSpan w:val="4"/>
            <w:shd w:val="clear" w:color="auto" w:fill="70AD47" w:themeFill="accent6"/>
          </w:tcPr>
          <w:p w:rsidR="00713553" w:rsidRPr="002F3881" w:rsidRDefault="00713553" w:rsidP="002F3881">
            <w:pPr>
              <w:jc w:val="center"/>
              <w:rPr>
                <w:rFonts w:ascii="Century Gothic" w:hAnsi="Century Gothic"/>
                <w:b/>
              </w:rPr>
            </w:pPr>
            <w:r w:rsidRPr="002F3881">
              <w:rPr>
                <w:rFonts w:ascii="Century Gothic" w:hAnsi="Century Gothic"/>
                <w:sz w:val="24"/>
                <w:u w:val="single"/>
              </w:rPr>
              <w:t>Terminology</w:t>
            </w:r>
            <w:r w:rsidR="002F3881" w:rsidRPr="002F3881">
              <w:rPr>
                <w:rFonts w:ascii="Century Gothic" w:hAnsi="Century Gothic"/>
                <w:b/>
                <w:sz w:val="24"/>
              </w:rPr>
              <w:t xml:space="preserve">: </w:t>
            </w:r>
            <w:r w:rsidR="002F3881" w:rsidRPr="002F3881">
              <w:rPr>
                <w:rFonts w:ascii="Century Gothic" w:hAnsi="Century Gothic"/>
              </w:rPr>
              <w:t>determiner pronoun, possessive pronoun adverbial</w:t>
            </w:r>
          </w:p>
        </w:tc>
      </w:tr>
      <w:tr w:rsidR="000F7C80" w:rsidRPr="00C95DBE" w:rsidTr="00366B0F">
        <w:tc>
          <w:tcPr>
            <w:tcW w:w="3487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Transcription</w:t>
            </w:r>
          </w:p>
        </w:tc>
        <w:tc>
          <w:tcPr>
            <w:tcW w:w="3487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4361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Vocabulary, Grammar and Punctuation</w:t>
            </w:r>
          </w:p>
        </w:tc>
      </w:tr>
      <w:tr w:rsidR="000F7C80" w:rsidRPr="00C95DBE" w:rsidTr="00366B0F">
        <w:tc>
          <w:tcPr>
            <w:tcW w:w="3487" w:type="dxa"/>
            <w:shd w:val="clear" w:color="auto" w:fill="FFFFFF" w:themeFill="background1"/>
          </w:tcPr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further prefixes and suffixes and understand how to add them - see </w:t>
            </w:r>
            <w:hyperlink r:id="rId8" w:history="1">
              <w:r w:rsidRPr="00713553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spell further homophones</w:t>
            </w:r>
          </w:p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spell words that are often misspelt - see </w:t>
            </w:r>
            <w:hyperlink r:id="rId9" w:history="1">
              <w:r w:rsidRPr="00713553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place the possessive apostrophe accurately in words with regular plurals [for example, girls’, boys’] and in words with irregular plurals [for example, children’s]</w:t>
            </w:r>
          </w:p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the first 2 or 3 letters of a word to check its spelling in a dictionary</w:t>
            </w:r>
          </w:p>
          <w:p w:rsidR="008730BE" w:rsidRPr="008730BE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write from memory simple sentences, dictated by the teacher, that include words and punctuation taught so far</w:t>
            </w:r>
          </w:p>
          <w:p w:rsidR="000F7C80" w:rsidRPr="00713553" w:rsidRDefault="000F7C80" w:rsidP="000F7C80">
            <w:pPr>
              <w:shd w:val="clear" w:color="auto" w:fill="FFFFFF"/>
              <w:spacing w:after="75"/>
              <w:jc w:val="both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:rsidR="008730BE" w:rsidRPr="008730BE" w:rsidRDefault="008730BE" w:rsidP="008730BE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the diagonal and horizontal strokes that are needed to join letters and understand which letters, when adjacent to one another, are best left un</w:t>
            </w:r>
            <w:r w:rsidR="00366B0F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-</w:t>
            </w: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joined</w:t>
            </w:r>
          </w:p>
          <w:p w:rsidR="008730BE" w:rsidRPr="008730BE" w:rsidRDefault="008730BE" w:rsidP="008730BE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increase the legibility, consistency and quality of their handwriting, [for example, by ensuring that the </w:t>
            </w:r>
            <w:r w:rsidR="00366B0F"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down strokes</w:t>
            </w: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 of letters are parallel and equidistant, and that lines of writing are spaced sufficiently so that the ascenders and descenders of letters do not touch]</w:t>
            </w:r>
          </w:p>
          <w:p w:rsidR="000F7C80" w:rsidRPr="00713553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4361" w:type="dxa"/>
            <w:shd w:val="clear" w:color="auto" w:fill="FFFFFF" w:themeFill="background1"/>
          </w:tcPr>
          <w:p w:rsidR="008730BE" w:rsidRPr="008730BE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</w:t>
            </w:r>
            <w:r w:rsidR="008730BE"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lan their writing by: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discussing and recording ideas</w:t>
            </w:r>
          </w:p>
          <w:p w:rsidR="008730BE" w:rsidRPr="008730BE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="008730BE"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raft and write by: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hyperlink r:id="rId10" w:history="1">
              <w:r w:rsidRPr="00713553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organising paragraphs around a theme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narratives, creating settings, characters and plot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non-narrative material, using simple organisational devices [for example, headings and sub-headings]</w:t>
            </w:r>
          </w:p>
          <w:p w:rsidR="008730BE" w:rsidRPr="008730BE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</w:t>
            </w:r>
            <w:r w:rsidR="008730BE"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valuate and edit by: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assessing the effectiveness of their own and others’ writing and suggesting improvements</w:t>
            </w:r>
          </w:p>
          <w:p w:rsidR="008730BE" w:rsidRPr="008730BE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proposing changes to grammar and vocabulary to improve consistency, including the accurate use of pronouns in sentences</w:t>
            </w:r>
          </w:p>
          <w:p w:rsidR="008730BE" w:rsidRPr="008730BE" w:rsidRDefault="008730BE" w:rsidP="008730BE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proofread for spelling and punctuation errors</w:t>
            </w:r>
          </w:p>
          <w:p w:rsidR="008730BE" w:rsidRPr="008730BE" w:rsidRDefault="008730BE" w:rsidP="008730BE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8730BE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:rsidR="000F7C80" w:rsidRPr="00713553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extending the range of sentences with more than one clause by using a wider range of conjunctions, including: when, if, because, although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the present perfect form of verbs in contrast to the past tense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choosing nouns or pronouns appropriately for clarity and cohesion and to avoid repetition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conjunctions, adverbs and prepositions to express time and cause</w:t>
            </w:r>
          </w:p>
          <w:p w:rsid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fronted adverbials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commas after fronted adverbials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indicating possession by using the possessive apostrophe with plural nouns</w:t>
            </w:r>
          </w:p>
          <w:p w:rsidR="00713553" w:rsidRPr="00713553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713553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and punctuating direct speech</w:t>
            </w:r>
          </w:p>
          <w:p w:rsidR="00713553" w:rsidRPr="00713553" w:rsidRDefault="00713553" w:rsidP="00713553">
            <w:p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</w:p>
          <w:p w:rsidR="000F7C80" w:rsidRPr="00713553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0F7C80" w:rsidRPr="00C95DBE" w:rsidRDefault="000F7C80" w:rsidP="000F7C80">
      <w:pPr>
        <w:tabs>
          <w:tab w:val="left" w:pos="4284"/>
        </w:tabs>
      </w:pPr>
      <w:r>
        <w:tab/>
      </w:r>
    </w:p>
    <w:p w:rsidR="006C5D4A" w:rsidRDefault="006C5D4A"/>
    <w:sectPr w:rsidR="006C5D4A" w:rsidSect="00366B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258F8"/>
    <w:multiLevelType w:val="multilevel"/>
    <w:tmpl w:val="DCE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C4EB5"/>
    <w:multiLevelType w:val="multilevel"/>
    <w:tmpl w:val="982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A13BAD"/>
    <w:multiLevelType w:val="multilevel"/>
    <w:tmpl w:val="1E2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4775FF"/>
    <w:multiLevelType w:val="multilevel"/>
    <w:tmpl w:val="21D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22762B"/>
    <w:multiLevelType w:val="multilevel"/>
    <w:tmpl w:val="1D98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625443"/>
    <w:multiLevelType w:val="multilevel"/>
    <w:tmpl w:val="907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896F0A"/>
    <w:multiLevelType w:val="multilevel"/>
    <w:tmpl w:val="484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0"/>
    <w:rsid w:val="000F7C80"/>
    <w:rsid w:val="00125FE5"/>
    <w:rsid w:val="002F3881"/>
    <w:rsid w:val="00366B0F"/>
    <w:rsid w:val="003A20BD"/>
    <w:rsid w:val="003A41D4"/>
    <w:rsid w:val="006C5D4A"/>
    <w:rsid w:val="00713553"/>
    <w:rsid w:val="008730BE"/>
    <w:rsid w:val="00D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7AC5"/>
  <w15:chartTrackingRefBased/>
  <w15:docId w15:val="{9FDB2674-D77A-4AA8-8B67-C960D73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3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239784/English_Appendix_1_-_Spelling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239784/English_Appendix_1_-_Spell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051F-BC14-492F-AB22-5C7ABB8A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2023-03-30T12:37:00Z</dcterms:created>
  <dcterms:modified xsi:type="dcterms:W3CDTF">2023-03-30T12:37:00Z</dcterms:modified>
</cp:coreProperties>
</file>