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395C" w14:textId="1F9D91E3" w:rsidR="004626FA" w:rsidRPr="00553D48" w:rsidRDefault="004626FA" w:rsidP="00075134">
      <w:pPr>
        <w:jc w:val="center"/>
        <w:rPr>
          <w:rFonts w:ascii="OpenDyslexic" w:hAnsi="OpenDyslexic"/>
          <w:sz w:val="40"/>
          <w:u w:val="single"/>
        </w:rPr>
      </w:pPr>
      <w:r w:rsidRPr="00553D48">
        <w:rPr>
          <w:rFonts w:ascii="OpenDyslexic" w:hAnsi="OpenDyslexic"/>
          <w:sz w:val="40"/>
          <w:u w:val="single"/>
        </w:rPr>
        <w:t xml:space="preserve">Spelling Overview </w:t>
      </w:r>
      <w:r w:rsidRPr="0067640E">
        <w:rPr>
          <w:rFonts w:ascii="OpenDyslexic" w:hAnsi="OpenDyslexic"/>
          <w:sz w:val="40"/>
          <w:highlight w:val="yellow"/>
          <w:u w:val="single"/>
        </w:rPr>
        <w:t xml:space="preserve">Year 4 </w:t>
      </w:r>
      <w:r w:rsidR="00CC45F2">
        <w:rPr>
          <w:rFonts w:ascii="OpenDyslexic" w:hAnsi="OpenDyslexic"/>
          <w:sz w:val="40"/>
          <w:highlight w:val="yellow"/>
          <w:u w:val="single"/>
        </w:rPr>
        <w:t>Sp</w:t>
      </w:r>
      <w:r w:rsidR="00AC05CF">
        <w:rPr>
          <w:rFonts w:ascii="OpenDyslexic" w:hAnsi="OpenDyslexic"/>
          <w:sz w:val="40"/>
          <w:highlight w:val="yellow"/>
          <w:u w:val="single"/>
        </w:rPr>
        <w:t>ring</w:t>
      </w:r>
      <w:r w:rsidR="00CC45F2">
        <w:rPr>
          <w:rFonts w:ascii="OpenDyslexic" w:hAnsi="OpenDyslexic"/>
          <w:sz w:val="40"/>
          <w:highlight w:val="yellow"/>
          <w:u w:val="single"/>
        </w:rPr>
        <w:t xml:space="preserve"> </w:t>
      </w:r>
      <w:r w:rsidR="00DC2120">
        <w:rPr>
          <w:rFonts w:ascii="OpenDyslexic" w:hAnsi="OpenDyslexic"/>
          <w:sz w:val="40"/>
          <w:u w:val="single"/>
        </w:rPr>
        <w:t>2</w:t>
      </w:r>
    </w:p>
    <w:p w14:paraId="1E484D66" w14:textId="77777777" w:rsidR="004626FA" w:rsidRPr="004626FA" w:rsidRDefault="004626FA" w:rsidP="004626FA">
      <w:pPr>
        <w:rPr>
          <w:rFonts w:ascii="OpenDyslexic" w:hAnsi="OpenDyslexic"/>
          <w:sz w:val="28"/>
        </w:rPr>
      </w:pPr>
      <w:r>
        <w:rPr>
          <w:rFonts w:ascii="OpenDyslexic" w:hAnsi="OpenDyslexic"/>
          <w:sz w:val="28"/>
        </w:rPr>
        <w:t xml:space="preserve">These are some of the Statutory Words for </w:t>
      </w:r>
      <w:r w:rsidRPr="0067640E">
        <w:rPr>
          <w:rFonts w:ascii="OpenDyslexic" w:hAnsi="OpenDyslexic"/>
          <w:sz w:val="28"/>
          <w:highlight w:val="yellow"/>
        </w:rPr>
        <w:t>Year 4</w:t>
      </w:r>
      <w:r>
        <w:rPr>
          <w:rFonts w:ascii="OpenDyslexic" w:hAnsi="OpenDyslexic"/>
          <w:sz w:val="28"/>
        </w:rPr>
        <w:t>.  Please practise these at</w:t>
      </w:r>
      <w:r w:rsidR="00480E45">
        <w:rPr>
          <w:rFonts w:ascii="OpenDyslexic" w:hAnsi="OpenDyslexic"/>
          <w:sz w:val="28"/>
        </w:rPr>
        <w:t xml:space="preserve"> home using the strategies on the back of this sheet</w:t>
      </w:r>
      <w:r>
        <w:rPr>
          <w:rFonts w:ascii="OpenDyslexic" w:hAnsi="OpenDyslexic"/>
          <w:sz w:val="28"/>
        </w:rPr>
        <w:t>.  There will be regular assessment points throughout the term</w:t>
      </w:r>
      <w:r w:rsidR="00553D48">
        <w:rPr>
          <w:rFonts w:ascii="OpenDyslexic" w:hAnsi="OpenDyslexic"/>
          <w:sz w:val="28"/>
        </w:rPr>
        <w:t xml:space="preserve"> and we will assess your</w:t>
      </w:r>
      <w:r w:rsidR="00B33B0F">
        <w:rPr>
          <w:rFonts w:ascii="OpenDyslexic" w:hAnsi="OpenDyslexic"/>
          <w:sz w:val="28"/>
        </w:rPr>
        <w:t xml:space="preserve"> knowledge of the</w:t>
      </w:r>
      <w:r w:rsidR="00480E45">
        <w:rPr>
          <w:rFonts w:ascii="OpenDyslexic" w:hAnsi="OpenDyslexic"/>
          <w:sz w:val="28"/>
        </w:rPr>
        <w:t xml:space="preserve"> wee</w:t>
      </w:r>
      <w:r w:rsidR="00B529BA">
        <w:rPr>
          <w:rFonts w:ascii="OpenDyslexic" w:hAnsi="OpenDyslexic"/>
          <w:sz w:val="28"/>
        </w:rPr>
        <w:t>kly focus spellings throughout the week.</w:t>
      </w:r>
    </w:p>
    <w:tbl>
      <w:tblPr>
        <w:tblStyle w:val="TableGrid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2341"/>
        <w:gridCol w:w="2915"/>
        <w:gridCol w:w="2903"/>
        <w:gridCol w:w="2531"/>
        <w:gridCol w:w="2443"/>
        <w:gridCol w:w="2481"/>
      </w:tblGrid>
      <w:tr w:rsidR="00887DFC" w14:paraId="523B582D" w14:textId="77777777" w:rsidTr="00887DFC">
        <w:tc>
          <w:tcPr>
            <w:tcW w:w="2341" w:type="dxa"/>
            <w:shd w:val="clear" w:color="auto" w:fill="DEEAF6" w:themeFill="accent1" w:themeFillTint="33"/>
          </w:tcPr>
          <w:p w14:paraId="56CE06C3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1</w:t>
            </w:r>
          </w:p>
          <w:p w14:paraId="38E65655" w14:textId="3A605E27" w:rsidR="00706973" w:rsidRPr="00706973" w:rsidRDefault="00706973" w:rsidP="00B33B0F">
            <w:pPr>
              <w:jc w:val="center"/>
              <w:rPr>
                <w:rFonts w:ascii="OpenDyslexic" w:hAnsi="OpenDyslexic"/>
              </w:rPr>
            </w:pPr>
            <w:r w:rsidRPr="00CC45F2">
              <w:rPr>
                <w:rFonts w:ascii="OpenDyslexic" w:hAnsi="OpenDyslexic"/>
                <w:highlight w:val="yellow"/>
              </w:rPr>
              <w:t xml:space="preserve">WB </w:t>
            </w:r>
            <w:r w:rsidR="0000078E">
              <w:rPr>
                <w:rFonts w:ascii="OpenDyslexic" w:hAnsi="OpenDyslexic"/>
                <w:highlight w:val="yellow"/>
              </w:rPr>
              <w:t>20.2</w:t>
            </w:r>
            <w:r w:rsidR="00CC45F2" w:rsidRPr="00CC45F2">
              <w:rPr>
                <w:rFonts w:ascii="OpenDyslexic" w:hAnsi="OpenDyslexic"/>
                <w:highlight w:val="yellow"/>
              </w:rPr>
              <w:t>.23</w:t>
            </w:r>
          </w:p>
          <w:p w14:paraId="778ADF81" w14:textId="10A51F99" w:rsidR="00B33B0F" w:rsidRDefault="00CC45F2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>Statutory spelling words</w:t>
            </w:r>
          </w:p>
        </w:tc>
        <w:tc>
          <w:tcPr>
            <w:tcW w:w="2915" w:type="dxa"/>
            <w:shd w:val="clear" w:color="auto" w:fill="DEEAF6" w:themeFill="accent1" w:themeFillTint="33"/>
          </w:tcPr>
          <w:p w14:paraId="25AD55E5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2</w:t>
            </w:r>
          </w:p>
          <w:p w14:paraId="05C4F9C0" w14:textId="409F94F2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 w:rsidRPr="00563E0E">
              <w:rPr>
                <w:rFonts w:ascii="OpenDyslexic" w:hAnsi="OpenDyslexic"/>
                <w:highlight w:val="yellow"/>
              </w:rPr>
              <w:t xml:space="preserve">WB </w:t>
            </w:r>
            <w:r w:rsidR="00563E0E" w:rsidRPr="00563E0E">
              <w:rPr>
                <w:rFonts w:ascii="OpenDyslexic" w:hAnsi="OpenDyslexic"/>
                <w:highlight w:val="yellow"/>
              </w:rPr>
              <w:t>27.2.23</w:t>
            </w:r>
          </w:p>
          <w:p w14:paraId="70AE0022" w14:textId="5259764D" w:rsidR="00B33B0F" w:rsidRPr="00CC45F2" w:rsidRDefault="00CC45F2" w:rsidP="00CC45F2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>
              <w:rPr>
                <w:rFonts w:ascii="OpenDyslexic" w:hAnsi="OpenDyslexic"/>
                <w:color w:val="FF0000"/>
                <w:sz w:val="18"/>
                <w:szCs w:val="18"/>
              </w:rPr>
              <w:t xml:space="preserve">Words </w:t>
            </w:r>
            <w:r w:rsidR="00563E0E">
              <w:rPr>
                <w:rFonts w:ascii="OpenDyslexic" w:hAnsi="OpenDyslexic"/>
                <w:color w:val="FF0000"/>
                <w:sz w:val="18"/>
                <w:szCs w:val="18"/>
              </w:rPr>
              <w:t>the prefixes anti- and inter-</w:t>
            </w:r>
            <w:r>
              <w:rPr>
                <w:rFonts w:ascii="OpenDyslexic" w:hAnsi="OpenDyslexic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903" w:type="dxa"/>
            <w:shd w:val="clear" w:color="auto" w:fill="DEEAF6" w:themeFill="accent1" w:themeFillTint="33"/>
          </w:tcPr>
          <w:p w14:paraId="5E47F9D5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3</w:t>
            </w:r>
          </w:p>
          <w:p w14:paraId="0A48465C" w14:textId="57E9ED5A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 w:rsidRPr="002A46A8">
              <w:rPr>
                <w:rFonts w:ascii="OpenDyslexic" w:hAnsi="OpenDyslexic"/>
                <w:highlight w:val="yellow"/>
              </w:rPr>
              <w:t xml:space="preserve">WB </w:t>
            </w:r>
            <w:r w:rsidR="00563E0E" w:rsidRPr="00563E0E">
              <w:rPr>
                <w:rFonts w:ascii="OpenDyslexic" w:hAnsi="OpenDyslexic"/>
                <w:highlight w:val="yellow"/>
              </w:rPr>
              <w:t>6.3.23</w:t>
            </w:r>
          </w:p>
          <w:p w14:paraId="11BFF311" w14:textId="2F8D532E" w:rsidR="00887DFC" w:rsidRPr="00563E0E" w:rsidRDefault="00887DFC" w:rsidP="00B33B0F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>
              <w:rPr>
                <w:rFonts w:ascii="OpenDyslexic" w:hAnsi="OpenDyslexic"/>
                <w:color w:val="FF0000"/>
                <w:sz w:val="18"/>
                <w:szCs w:val="18"/>
              </w:rPr>
              <w:t>Words ending in -tion</w:t>
            </w:r>
          </w:p>
        </w:tc>
        <w:tc>
          <w:tcPr>
            <w:tcW w:w="2531" w:type="dxa"/>
            <w:shd w:val="clear" w:color="auto" w:fill="DEEAF6" w:themeFill="accent1" w:themeFillTint="33"/>
          </w:tcPr>
          <w:p w14:paraId="0BDC9D22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4</w:t>
            </w:r>
          </w:p>
          <w:p w14:paraId="2984DF8B" w14:textId="300CD016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563E0E">
              <w:rPr>
                <w:rFonts w:ascii="OpenDyslexic" w:hAnsi="OpenDyslexic"/>
                <w:highlight w:val="yellow"/>
              </w:rPr>
              <w:t>13.3.23</w:t>
            </w:r>
          </w:p>
          <w:p w14:paraId="07C151B2" w14:textId="593F0067" w:rsidR="008B209C" w:rsidRPr="00887DFC" w:rsidRDefault="00887DFC" w:rsidP="00887DFC">
            <w:pPr>
              <w:jc w:val="center"/>
              <w:rPr>
                <w:rFonts w:ascii="OpenDyslexic" w:hAnsi="OpenDyslexic"/>
                <w:color w:val="FF0000"/>
                <w:sz w:val="18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 xml:space="preserve">Words ending in -cian 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1E67D0BD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 5</w:t>
            </w:r>
          </w:p>
          <w:p w14:paraId="0FBFA98C" w14:textId="19A89E22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887DFC">
              <w:rPr>
                <w:rFonts w:ascii="OpenDyslexic" w:hAnsi="OpenDyslexic"/>
                <w:highlight w:val="yellow"/>
              </w:rPr>
              <w:t>20.3</w:t>
            </w:r>
            <w:r w:rsidR="008C1D41">
              <w:rPr>
                <w:rFonts w:ascii="OpenDyslexic" w:hAnsi="OpenDyslexic"/>
                <w:highlight w:val="yellow"/>
              </w:rPr>
              <w:t>.23</w:t>
            </w:r>
          </w:p>
          <w:p w14:paraId="0982374C" w14:textId="593A4138" w:rsidR="00887DFC" w:rsidRDefault="00887DFC" w:rsidP="00887DFC">
            <w:pPr>
              <w:jc w:val="center"/>
              <w:rPr>
                <w:rFonts w:ascii="OpenDyslexic" w:hAnsi="OpenDyslexic"/>
                <w:color w:val="FF0000"/>
                <w:sz w:val="18"/>
              </w:rPr>
            </w:pPr>
            <w:r>
              <w:rPr>
                <w:rFonts w:ascii="OpenDyslexic" w:hAnsi="OpenDyslexic"/>
                <w:color w:val="FF0000"/>
                <w:sz w:val="18"/>
              </w:rPr>
              <w:t>Words ending in -</w:t>
            </w:r>
            <w:r>
              <w:rPr>
                <w:rFonts w:ascii="OpenDyslexic" w:hAnsi="OpenDyslexic"/>
                <w:color w:val="FF0000"/>
                <w:sz w:val="18"/>
              </w:rPr>
              <w:t>ssion</w:t>
            </w:r>
            <w:r>
              <w:rPr>
                <w:rFonts w:ascii="OpenDyslexic" w:hAnsi="OpenDyslexic"/>
                <w:color w:val="FF0000"/>
                <w:sz w:val="18"/>
              </w:rPr>
              <w:t xml:space="preserve"> and -sion</w:t>
            </w:r>
          </w:p>
          <w:p w14:paraId="46D80CE4" w14:textId="63900CEA" w:rsidR="00B33B0F" w:rsidRPr="00887DFC" w:rsidRDefault="00B33B0F" w:rsidP="00B33B0F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</w:p>
        </w:tc>
        <w:tc>
          <w:tcPr>
            <w:tcW w:w="2481" w:type="dxa"/>
            <w:shd w:val="clear" w:color="auto" w:fill="DEEAF6" w:themeFill="accent1" w:themeFillTint="33"/>
          </w:tcPr>
          <w:p w14:paraId="69736709" w14:textId="77777777" w:rsidR="00B33B0F" w:rsidRDefault="00B33B0F" w:rsidP="00B33B0F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Week6</w:t>
            </w:r>
          </w:p>
          <w:p w14:paraId="0B44A6CE" w14:textId="3518FC1F" w:rsidR="00706973" w:rsidRPr="00706973" w:rsidRDefault="00706973" w:rsidP="00706973">
            <w:pPr>
              <w:jc w:val="center"/>
              <w:rPr>
                <w:rFonts w:ascii="OpenDyslexic" w:hAnsi="OpenDyslexic"/>
              </w:rPr>
            </w:pPr>
            <w:r>
              <w:rPr>
                <w:rFonts w:ascii="OpenDyslexic" w:hAnsi="OpenDyslexic"/>
                <w:highlight w:val="yellow"/>
              </w:rPr>
              <w:t xml:space="preserve">WB </w:t>
            </w:r>
            <w:r w:rsidR="007628F5">
              <w:rPr>
                <w:rFonts w:ascii="OpenDyslexic" w:hAnsi="OpenDyslexic"/>
                <w:highlight w:val="yellow"/>
              </w:rPr>
              <w:t>27.3.</w:t>
            </w:r>
            <w:r w:rsidR="008C1D41">
              <w:rPr>
                <w:rFonts w:ascii="OpenDyslexic" w:hAnsi="OpenDyslexic"/>
                <w:highlight w:val="yellow"/>
              </w:rPr>
              <w:t>23</w:t>
            </w:r>
          </w:p>
          <w:p w14:paraId="626C5F67" w14:textId="77777777" w:rsidR="00B33B0F" w:rsidRDefault="008C1D41" w:rsidP="00B33B0F">
            <w:pPr>
              <w:jc w:val="center"/>
              <w:rPr>
                <w:rFonts w:ascii="OpenDyslexic" w:hAnsi="OpenDyslexic"/>
                <w:color w:val="FF0000"/>
                <w:sz w:val="20"/>
              </w:rPr>
            </w:pPr>
            <w:r>
              <w:rPr>
                <w:rFonts w:ascii="OpenDyslexic" w:hAnsi="OpenDyslexic"/>
                <w:color w:val="FF0000"/>
                <w:sz w:val="20"/>
              </w:rPr>
              <w:t>Statutory spelling</w:t>
            </w:r>
          </w:p>
          <w:p w14:paraId="63BFDAD7" w14:textId="2322F933" w:rsidR="008C1D41" w:rsidRPr="008C1D41" w:rsidRDefault="008C1D41" w:rsidP="00B33B0F">
            <w:pPr>
              <w:jc w:val="center"/>
              <w:rPr>
                <w:rFonts w:ascii="OpenDyslexic" w:hAnsi="OpenDyslexic"/>
                <w:color w:val="FF0000"/>
                <w:sz w:val="18"/>
                <w:szCs w:val="18"/>
              </w:rPr>
            </w:pPr>
            <w:r w:rsidRPr="008C1D41">
              <w:rPr>
                <w:rFonts w:ascii="OpenDyslexic" w:hAnsi="OpenDyslexic"/>
                <w:color w:val="FF0000"/>
                <w:sz w:val="18"/>
                <w:szCs w:val="18"/>
              </w:rPr>
              <w:t>words</w:t>
            </w:r>
          </w:p>
        </w:tc>
      </w:tr>
      <w:tr w:rsidR="00887DFC" w14:paraId="484CCF7F" w14:textId="77777777" w:rsidTr="00887DFC">
        <w:tc>
          <w:tcPr>
            <w:tcW w:w="2341" w:type="dxa"/>
          </w:tcPr>
          <w:p w14:paraId="49B289AB" w14:textId="4956667D" w:rsidR="00887DFC" w:rsidRPr="00563E0E" w:rsidRDefault="00887DFC" w:rsidP="00887DFC">
            <w:pPr>
              <w:jc w:val="center"/>
              <w:rPr>
                <w:rFonts w:ascii="OpenDyslexic" w:hAnsi="OpenDyslexic"/>
                <w:sz w:val="36"/>
                <w:szCs w:val="36"/>
              </w:rPr>
            </w:pPr>
            <w:r w:rsidRPr="00563E0E">
              <w:rPr>
                <w:rFonts w:ascii="OpenDyslexic" w:hAnsi="OpenDyslexic"/>
                <w:sz w:val="36"/>
                <w:szCs w:val="36"/>
              </w:rPr>
              <w:t>naughty</w:t>
            </w:r>
          </w:p>
        </w:tc>
        <w:tc>
          <w:tcPr>
            <w:tcW w:w="2915" w:type="dxa"/>
          </w:tcPr>
          <w:p w14:paraId="61583E5C" w14:textId="770A8993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40"/>
              </w:rPr>
              <w:t>anti</w:t>
            </w:r>
            <w:r w:rsidRPr="00563E0E">
              <w:rPr>
                <w:rFonts w:ascii="OpenDyslexic" w:hAnsi="OpenDyslexic"/>
                <w:sz w:val="40"/>
              </w:rPr>
              <w:t>social</w:t>
            </w:r>
          </w:p>
        </w:tc>
        <w:tc>
          <w:tcPr>
            <w:tcW w:w="2903" w:type="dxa"/>
          </w:tcPr>
          <w:p w14:paraId="115D3614" w14:textId="1252AB58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fic</w:t>
            </w:r>
            <w:r w:rsidRPr="00887DFC">
              <w:rPr>
                <w:rFonts w:ascii="OpenDyslexic" w:hAnsi="OpenDyslexic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2531" w:type="dxa"/>
          </w:tcPr>
          <w:p w14:paraId="3FF04AE6" w14:textId="0A97773F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opti</w:t>
            </w:r>
            <w:r w:rsidRPr="00563E0E">
              <w:rPr>
                <w:rFonts w:ascii="OpenDyslexic" w:hAnsi="OpenDyslexic"/>
                <w:color w:val="FF0000"/>
                <w:sz w:val="36"/>
                <w:szCs w:val="36"/>
              </w:rPr>
              <w:t>cian</w:t>
            </w:r>
          </w:p>
        </w:tc>
        <w:tc>
          <w:tcPr>
            <w:tcW w:w="2443" w:type="dxa"/>
          </w:tcPr>
          <w:p w14:paraId="007624C9" w14:textId="29D1F29D" w:rsidR="00887DFC" w:rsidRPr="008C1D41" w:rsidRDefault="00887DFC" w:rsidP="00887DFC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40"/>
              </w:rPr>
              <w:t>mi</w:t>
            </w:r>
            <w:r w:rsidRPr="00563E0E">
              <w:rPr>
                <w:rFonts w:ascii="OpenDyslexic" w:hAnsi="OpenDyslexic"/>
                <w:color w:val="FF0000"/>
                <w:sz w:val="40"/>
              </w:rPr>
              <w:t>ssion</w:t>
            </w:r>
          </w:p>
        </w:tc>
        <w:tc>
          <w:tcPr>
            <w:tcW w:w="2481" w:type="dxa"/>
          </w:tcPr>
          <w:p w14:paraId="4F6DF495" w14:textId="0330B962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 w:rsidRPr="00887DFC">
              <w:rPr>
                <w:rFonts w:ascii="OpenDyslexic" w:hAnsi="OpenDyslexic"/>
                <w:sz w:val="36"/>
                <w:szCs w:val="36"/>
              </w:rPr>
              <w:t>sentence</w:t>
            </w:r>
          </w:p>
        </w:tc>
      </w:tr>
      <w:tr w:rsidR="00887DFC" w14:paraId="01B0E5D0" w14:textId="77777777" w:rsidTr="00887DFC">
        <w:tc>
          <w:tcPr>
            <w:tcW w:w="2341" w:type="dxa"/>
          </w:tcPr>
          <w:p w14:paraId="45C1187F" w14:textId="2080A104" w:rsidR="00887DFC" w:rsidRPr="00563E0E" w:rsidRDefault="00887DFC" w:rsidP="00887DFC">
            <w:pPr>
              <w:jc w:val="center"/>
              <w:rPr>
                <w:rFonts w:ascii="OpenDyslexic" w:hAnsi="OpenDyslexic"/>
                <w:sz w:val="36"/>
                <w:szCs w:val="36"/>
              </w:rPr>
            </w:pPr>
            <w:r w:rsidRPr="00563E0E">
              <w:rPr>
                <w:rFonts w:ascii="OpenDyslexic" w:hAnsi="OpenDyslexic"/>
                <w:sz w:val="36"/>
                <w:szCs w:val="36"/>
              </w:rPr>
              <w:t>ordinary</w:t>
            </w:r>
          </w:p>
        </w:tc>
        <w:tc>
          <w:tcPr>
            <w:tcW w:w="2915" w:type="dxa"/>
          </w:tcPr>
          <w:p w14:paraId="1BD5A66B" w14:textId="5CE25D0B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40"/>
              </w:rPr>
              <w:t>anti</w:t>
            </w:r>
            <w:r w:rsidRPr="00563E0E">
              <w:rPr>
                <w:rFonts w:ascii="OpenDyslexic" w:hAnsi="OpenDyslexic"/>
                <w:sz w:val="40"/>
              </w:rPr>
              <w:t>biotic</w:t>
            </w:r>
          </w:p>
        </w:tc>
        <w:tc>
          <w:tcPr>
            <w:tcW w:w="2903" w:type="dxa"/>
          </w:tcPr>
          <w:p w14:paraId="6E5E0806" w14:textId="76EE8B89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direc</w:t>
            </w:r>
            <w:r w:rsidRPr="00887DFC">
              <w:rPr>
                <w:rFonts w:ascii="OpenDyslexic" w:hAnsi="OpenDyslexic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2531" w:type="dxa"/>
          </w:tcPr>
          <w:p w14:paraId="2866AE04" w14:textId="3C57FC66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magi</w:t>
            </w:r>
            <w:r w:rsidRPr="00563E0E">
              <w:rPr>
                <w:rFonts w:ascii="OpenDyslexic" w:hAnsi="OpenDyslexic"/>
                <w:color w:val="FF0000"/>
                <w:sz w:val="36"/>
                <w:szCs w:val="36"/>
              </w:rPr>
              <w:t>cian</w:t>
            </w:r>
          </w:p>
        </w:tc>
        <w:tc>
          <w:tcPr>
            <w:tcW w:w="2443" w:type="dxa"/>
          </w:tcPr>
          <w:p w14:paraId="062E8F39" w14:textId="7B665AEE" w:rsidR="00887DFC" w:rsidRPr="008C1D41" w:rsidRDefault="00887DFC" w:rsidP="00887DFC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40"/>
              </w:rPr>
              <w:t>se</w:t>
            </w:r>
            <w:r w:rsidRPr="00563E0E">
              <w:rPr>
                <w:rFonts w:ascii="OpenDyslexic" w:hAnsi="OpenDyslexic"/>
                <w:color w:val="FF0000"/>
                <w:sz w:val="40"/>
              </w:rPr>
              <w:t>ssion</w:t>
            </w:r>
          </w:p>
        </w:tc>
        <w:tc>
          <w:tcPr>
            <w:tcW w:w="2481" w:type="dxa"/>
          </w:tcPr>
          <w:p w14:paraId="433920EC" w14:textId="04CD517B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 w:rsidRPr="00887DFC">
              <w:rPr>
                <w:rFonts w:ascii="OpenDyslexic" w:hAnsi="OpenDyslexic"/>
                <w:sz w:val="36"/>
                <w:szCs w:val="36"/>
              </w:rPr>
              <w:t>strange</w:t>
            </w:r>
          </w:p>
        </w:tc>
      </w:tr>
      <w:tr w:rsidR="00887DFC" w14:paraId="0CFCD724" w14:textId="77777777" w:rsidTr="00887DFC">
        <w:tc>
          <w:tcPr>
            <w:tcW w:w="2341" w:type="dxa"/>
          </w:tcPr>
          <w:p w14:paraId="7A6D1B80" w14:textId="04F74C51" w:rsidR="00887DFC" w:rsidRPr="00563E0E" w:rsidRDefault="00887DFC" w:rsidP="00887DFC">
            <w:pPr>
              <w:jc w:val="center"/>
              <w:rPr>
                <w:rFonts w:ascii="OpenDyslexic" w:hAnsi="OpenDyslexic"/>
                <w:sz w:val="36"/>
                <w:szCs w:val="36"/>
              </w:rPr>
            </w:pPr>
            <w:r w:rsidRPr="00563E0E">
              <w:rPr>
                <w:rFonts w:ascii="OpenDyslexic" w:hAnsi="OpenDyslexic"/>
                <w:sz w:val="36"/>
                <w:szCs w:val="36"/>
              </w:rPr>
              <w:t>probably</w:t>
            </w:r>
          </w:p>
        </w:tc>
        <w:tc>
          <w:tcPr>
            <w:tcW w:w="2915" w:type="dxa"/>
          </w:tcPr>
          <w:p w14:paraId="46C4ED85" w14:textId="6D6F239B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40"/>
              </w:rPr>
              <w:t>inter</w:t>
            </w:r>
            <w:r w:rsidRPr="00563E0E">
              <w:rPr>
                <w:rFonts w:ascii="OpenDyslexic" w:hAnsi="OpenDyslexic"/>
                <w:sz w:val="40"/>
              </w:rPr>
              <w:t>rupt</w:t>
            </w:r>
          </w:p>
        </w:tc>
        <w:tc>
          <w:tcPr>
            <w:tcW w:w="2903" w:type="dxa"/>
          </w:tcPr>
          <w:p w14:paraId="0BD8E701" w14:textId="2D1173C4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frac</w:t>
            </w:r>
            <w:r w:rsidRPr="00887DFC">
              <w:rPr>
                <w:rFonts w:ascii="OpenDyslexic" w:hAnsi="OpenDyslexic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2531" w:type="dxa"/>
          </w:tcPr>
          <w:p w14:paraId="1B22C31E" w14:textId="4D903A72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physi</w:t>
            </w:r>
            <w:r w:rsidRPr="00887DFC">
              <w:rPr>
                <w:rFonts w:ascii="OpenDyslexic" w:hAnsi="OpenDyslexic"/>
                <w:color w:val="FF0000"/>
                <w:sz w:val="36"/>
                <w:szCs w:val="36"/>
              </w:rPr>
              <w:t>cian</w:t>
            </w:r>
          </w:p>
        </w:tc>
        <w:tc>
          <w:tcPr>
            <w:tcW w:w="2443" w:type="dxa"/>
          </w:tcPr>
          <w:p w14:paraId="1FA420C1" w14:textId="1F9D5F80" w:rsidR="00887DFC" w:rsidRPr="008C1D41" w:rsidRDefault="00887DFC" w:rsidP="00887DFC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40"/>
              </w:rPr>
              <w:t>confu</w:t>
            </w:r>
            <w:r w:rsidRPr="00887DFC">
              <w:rPr>
                <w:rFonts w:ascii="OpenDyslexic" w:hAnsi="OpenDyslexic"/>
                <w:color w:val="FF0000"/>
                <w:sz w:val="40"/>
              </w:rPr>
              <w:t>sion</w:t>
            </w:r>
          </w:p>
        </w:tc>
        <w:tc>
          <w:tcPr>
            <w:tcW w:w="2481" w:type="dxa"/>
          </w:tcPr>
          <w:p w14:paraId="76895132" w14:textId="5B987EC6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 w:rsidRPr="00887DFC">
              <w:rPr>
                <w:rFonts w:ascii="OpenDyslexic" w:hAnsi="OpenDyslexic"/>
                <w:sz w:val="36"/>
                <w:szCs w:val="36"/>
              </w:rPr>
              <w:t>strength</w:t>
            </w:r>
          </w:p>
        </w:tc>
      </w:tr>
      <w:tr w:rsidR="00887DFC" w14:paraId="04E0BCE8" w14:textId="77777777" w:rsidTr="00887DFC">
        <w:tc>
          <w:tcPr>
            <w:tcW w:w="2341" w:type="dxa"/>
          </w:tcPr>
          <w:p w14:paraId="5AD629D0" w14:textId="4E7CA4E3" w:rsidR="00887DFC" w:rsidRPr="00563E0E" w:rsidRDefault="00887DFC" w:rsidP="00887DFC">
            <w:pPr>
              <w:jc w:val="center"/>
              <w:rPr>
                <w:rFonts w:ascii="OpenDyslexic" w:hAnsi="OpenDyslexic"/>
                <w:sz w:val="36"/>
                <w:szCs w:val="36"/>
              </w:rPr>
            </w:pPr>
            <w:r w:rsidRPr="00563E0E">
              <w:rPr>
                <w:rFonts w:ascii="OpenDyslexic" w:hAnsi="OpenDyslexic"/>
                <w:sz w:val="36"/>
                <w:szCs w:val="36"/>
              </w:rPr>
              <w:t>recent</w:t>
            </w:r>
          </w:p>
        </w:tc>
        <w:tc>
          <w:tcPr>
            <w:tcW w:w="2915" w:type="dxa"/>
          </w:tcPr>
          <w:p w14:paraId="650EF111" w14:textId="3D326088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color w:val="FF0000"/>
                <w:sz w:val="40"/>
              </w:rPr>
              <w:t>inter</w:t>
            </w:r>
            <w:r w:rsidRPr="00563E0E">
              <w:rPr>
                <w:rFonts w:ascii="OpenDyslexic" w:hAnsi="OpenDyslexic"/>
                <w:sz w:val="40"/>
              </w:rPr>
              <w:t>national</w:t>
            </w:r>
          </w:p>
        </w:tc>
        <w:tc>
          <w:tcPr>
            <w:tcW w:w="2903" w:type="dxa"/>
          </w:tcPr>
          <w:p w14:paraId="09431795" w14:textId="0FB1C3A0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36"/>
                <w:szCs w:val="36"/>
              </w:rPr>
              <w:t>atten</w:t>
            </w:r>
            <w:r w:rsidRPr="00887DFC">
              <w:rPr>
                <w:rFonts w:ascii="OpenDyslexic" w:hAnsi="OpenDyslexic"/>
                <w:color w:val="FF0000"/>
                <w:sz w:val="36"/>
                <w:szCs w:val="36"/>
              </w:rPr>
              <w:t>tion</w:t>
            </w:r>
          </w:p>
        </w:tc>
        <w:tc>
          <w:tcPr>
            <w:tcW w:w="2531" w:type="dxa"/>
          </w:tcPr>
          <w:p w14:paraId="6DEC7303" w14:textId="781BB015" w:rsid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sz w:val="40"/>
              </w:rPr>
              <w:t>politi</w:t>
            </w:r>
            <w:r w:rsidRPr="00887DFC">
              <w:rPr>
                <w:rFonts w:ascii="OpenDyslexic" w:hAnsi="OpenDyslexic"/>
                <w:color w:val="FF0000"/>
                <w:sz w:val="40"/>
              </w:rPr>
              <w:t>cian</w:t>
            </w:r>
          </w:p>
        </w:tc>
        <w:tc>
          <w:tcPr>
            <w:tcW w:w="2443" w:type="dxa"/>
          </w:tcPr>
          <w:p w14:paraId="230529A9" w14:textId="7816CB6C" w:rsidR="00887DFC" w:rsidRPr="008C1D41" w:rsidRDefault="00887DFC" w:rsidP="00887DFC">
            <w:pPr>
              <w:jc w:val="center"/>
              <w:rPr>
                <w:rFonts w:ascii="OpenDyslexic" w:hAnsi="OpenDyslexic"/>
                <w:sz w:val="32"/>
                <w:szCs w:val="32"/>
              </w:rPr>
            </w:pPr>
            <w:r>
              <w:rPr>
                <w:rFonts w:ascii="OpenDyslexic" w:hAnsi="OpenDyslexic"/>
                <w:sz w:val="40"/>
              </w:rPr>
              <w:t>exten</w:t>
            </w:r>
            <w:r w:rsidRPr="00887DFC">
              <w:rPr>
                <w:rFonts w:ascii="OpenDyslexic" w:hAnsi="OpenDyslexic"/>
                <w:color w:val="FF0000"/>
                <w:sz w:val="40"/>
              </w:rPr>
              <w:t>sion</w:t>
            </w:r>
          </w:p>
        </w:tc>
        <w:tc>
          <w:tcPr>
            <w:tcW w:w="2481" w:type="dxa"/>
          </w:tcPr>
          <w:p w14:paraId="181BFDB5" w14:textId="4E96AE26" w:rsidR="00887DFC" w:rsidRPr="00887DFC" w:rsidRDefault="00887DFC" w:rsidP="00887DFC">
            <w:pPr>
              <w:jc w:val="center"/>
              <w:rPr>
                <w:rFonts w:ascii="OpenDyslexic" w:hAnsi="OpenDyslexic"/>
                <w:sz w:val="40"/>
              </w:rPr>
            </w:pPr>
            <w:r w:rsidRPr="00887DFC">
              <w:rPr>
                <w:rFonts w:ascii="OpenDyslexic" w:hAnsi="OpenDyslexic"/>
                <w:sz w:val="36"/>
                <w:szCs w:val="36"/>
              </w:rPr>
              <w:t>various</w:t>
            </w:r>
          </w:p>
        </w:tc>
      </w:tr>
    </w:tbl>
    <w:p w14:paraId="3CBBD3F1" w14:textId="77777777" w:rsidR="00B33B0F" w:rsidRDefault="00B33B0F" w:rsidP="004626FA">
      <w:pPr>
        <w:rPr>
          <w:rFonts w:ascii="OpenDyslexic" w:hAnsi="OpenDyslexic"/>
          <w:sz w:val="28"/>
        </w:rPr>
      </w:pPr>
      <w:r>
        <w:rPr>
          <w:rFonts w:ascii="OpenDyslexic" w:hAnsi="OpenDyslexic"/>
          <w:sz w:val="28"/>
        </w:rPr>
        <w:t>These focus words are a continuation of the learning that has taken place at school.  There is a limited number of words to enable deeper learning of increasingly complex words.</w:t>
      </w:r>
    </w:p>
    <w:p w14:paraId="0CBE9F38" w14:textId="77777777" w:rsidR="00480E45" w:rsidRDefault="00480E45" w:rsidP="004626FA">
      <w:pPr>
        <w:rPr>
          <w:rFonts w:ascii="OpenDyslexic" w:hAnsi="OpenDyslexic"/>
          <w:sz w:val="28"/>
        </w:rPr>
      </w:pPr>
    </w:p>
    <w:p w14:paraId="07EED295" w14:textId="77777777" w:rsidR="00480E45" w:rsidRDefault="00480E45" w:rsidP="004626FA">
      <w:pPr>
        <w:rPr>
          <w:rFonts w:ascii="OpenDyslexic" w:hAnsi="OpenDyslexic"/>
          <w:sz w:val="28"/>
        </w:rPr>
      </w:pPr>
    </w:p>
    <w:p w14:paraId="70114A2F" w14:textId="77777777" w:rsidR="00480E45" w:rsidRDefault="00480E45" w:rsidP="004626FA">
      <w:pPr>
        <w:rPr>
          <w:rFonts w:ascii="OpenDyslexic" w:hAnsi="OpenDyslexic"/>
          <w:sz w:val="28"/>
        </w:rPr>
      </w:pPr>
      <w:r w:rsidRPr="00480E45">
        <w:rPr>
          <w:rFonts w:ascii="OpenDyslexic" w:hAnsi="OpenDyslexic"/>
          <w:noProof/>
          <w:sz w:val="28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E85C76C" wp14:editId="7D406B99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9777730" cy="50126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7E5C8" w14:textId="77777777" w:rsidR="00480E45" w:rsidRPr="00480E45" w:rsidRDefault="00480E45" w:rsidP="004626FA">
      <w:pPr>
        <w:rPr>
          <w:rFonts w:ascii="OpenDyslexic" w:hAnsi="OpenDyslexic"/>
          <w:sz w:val="28"/>
        </w:rPr>
      </w:pPr>
    </w:p>
    <w:p w14:paraId="61171B78" w14:textId="77777777" w:rsidR="00560A78" w:rsidRPr="004626FA" w:rsidRDefault="00560A78" w:rsidP="004626FA">
      <w:pPr>
        <w:rPr>
          <w:rFonts w:ascii="OpenDyslexic" w:hAnsi="OpenDyslexic"/>
          <w:sz w:val="40"/>
        </w:rPr>
      </w:pPr>
    </w:p>
    <w:sectPr w:rsidR="00560A78" w:rsidRPr="004626FA" w:rsidSect="004626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34"/>
    <w:rsid w:val="0000078E"/>
    <w:rsid w:val="00075134"/>
    <w:rsid w:val="002A46A8"/>
    <w:rsid w:val="003A169C"/>
    <w:rsid w:val="004626FA"/>
    <w:rsid w:val="00480E45"/>
    <w:rsid w:val="00553D48"/>
    <w:rsid w:val="005604E7"/>
    <w:rsid w:val="00560A78"/>
    <w:rsid w:val="00563E0E"/>
    <w:rsid w:val="0067640E"/>
    <w:rsid w:val="00706973"/>
    <w:rsid w:val="007628F5"/>
    <w:rsid w:val="00887DFC"/>
    <w:rsid w:val="008B209C"/>
    <w:rsid w:val="008C1D41"/>
    <w:rsid w:val="008C7ECE"/>
    <w:rsid w:val="00AC05CF"/>
    <w:rsid w:val="00B33B0F"/>
    <w:rsid w:val="00B529BA"/>
    <w:rsid w:val="00CC45F2"/>
    <w:rsid w:val="00D1422C"/>
    <w:rsid w:val="00D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7877"/>
  <w15:docId w15:val="{4F7C9F67-D332-4081-8681-152552B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Celtic Cross Education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John</dc:creator>
  <cp:keywords/>
  <dc:description/>
  <cp:lastModifiedBy>Samantha Tidball</cp:lastModifiedBy>
  <cp:revision>3</cp:revision>
  <cp:lastPrinted>2022-12-14T14:18:00Z</cp:lastPrinted>
  <dcterms:created xsi:type="dcterms:W3CDTF">2022-12-14T14:21:00Z</dcterms:created>
  <dcterms:modified xsi:type="dcterms:W3CDTF">2022-12-14T14:53:00Z</dcterms:modified>
</cp:coreProperties>
</file>