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F395C" w14:textId="3B86E8A8" w:rsidR="004626FA" w:rsidRPr="00553D48" w:rsidRDefault="004626FA" w:rsidP="00075134">
      <w:pPr>
        <w:jc w:val="center"/>
        <w:rPr>
          <w:rFonts w:ascii="OpenDyslexic" w:hAnsi="OpenDyslexic"/>
          <w:sz w:val="40"/>
          <w:u w:val="single"/>
        </w:rPr>
      </w:pPr>
      <w:r w:rsidRPr="00553D48">
        <w:rPr>
          <w:rFonts w:ascii="OpenDyslexic" w:hAnsi="OpenDyslexic"/>
          <w:sz w:val="40"/>
          <w:u w:val="single"/>
        </w:rPr>
        <w:t xml:space="preserve">Spelling Overview </w:t>
      </w:r>
      <w:r w:rsidRPr="0067640E">
        <w:rPr>
          <w:rFonts w:ascii="OpenDyslexic" w:hAnsi="OpenDyslexic"/>
          <w:sz w:val="40"/>
          <w:highlight w:val="yellow"/>
          <w:u w:val="single"/>
        </w:rPr>
        <w:t xml:space="preserve">Year 4 </w:t>
      </w:r>
      <w:r w:rsidR="001137ED">
        <w:rPr>
          <w:rFonts w:ascii="OpenDyslexic" w:hAnsi="OpenDyslexic"/>
          <w:sz w:val="40"/>
          <w:u w:val="single"/>
        </w:rPr>
        <w:t>S</w:t>
      </w:r>
      <w:r w:rsidR="00B009C3">
        <w:rPr>
          <w:rFonts w:ascii="OpenDyslexic" w:hAnsi="OpenDyslexic"/>
          <w:sz w:val="40"/>
          <w:u w:val="single"/>
        </w:rPr>
        <w:t xml:space="preserve">ummer </w:t>
      </w:r>
      <w:r w:rsidR="005C2B9D">
        <w:rPr>
          <w:rFonts w:ascii="OpenDyslexic" w:hAnsi="OpenDyslexic"/>
          <w:sz w:val="40"/>
          <w:u w:val="single"/>
        </w:rPr>
        <w:t>2</w:t>
      </w:r>
      <w:bookmarkStart w:id="0" w:name="_GoBack"/>
      <w:bookmarkEnd w:id="0"/>
    </w:p>
    <w:p w14:paraId="1E484D66" w14:textId="77777777" w:rsidR="004626FA" w:rsidRPr="004626FA" w:rsidRDefault="004626FA" w:rsidP="004626FA">
      <w:pPr>
        <w:rPr>
          <w:rFonts w:ascii="OpenDyslexic" w:hAnsi="OpenDyslexic"/>
          <w:sz w:val="28"/>
        </w:rPr>
      </w:pPr>
      <w:r>
        <w:rPr>
          <w:rFonts w:ascii="OpenDyslexic" w:hAnsi="OpenDyslexic"/>
          <w:sz w:val="28"/>
        </w:rPr>
        <w:t xml:space="preserve">These are some of the Statutory Words for </w:t>
      </w:r>
      <w:r w:rsidRPr="0067640E">
        <w:rPr>
          <w:rFonts w:ascii="OpenDyslexic" w:hAnsi="OpenDyslexic"/>
          <w:sz w:val="28"/>
          <w:highlight w:val="yellow"/>
        </w:rPr>
        <w:t>Year 4</w:t>
      </w:r>
      <w:r>
        <w:rPr>
          <w:rFonts w:ascii="OpenDyslexic" w:hAnsi="OpenDyslexic"/>
          <w:sz w:val="28"/>
        </w:rPr>
        <w:t>.  Please practise these at</w:t>
      </w:r>
      <w:r w:rsidR="00480E45">
        <w:rPr>
          <w:rFonts w:ascii="OpenDyslexic" w:hAnsi="OpenDyslexic"/>
          <w:sz w:val="28"/>
        </w:rPr>
        <w:t xml:space="preserve"> home using the strategies on the back of this sheet</w:t>
      </w:r>
      <w:r>
        <w:rPr>
          <w:rFonts w:ascii="OpenDyslexic" w:hAnsi="OpenDyslexic"/>
          <w:sz w:val="28"/>
        </w:rPr>
        <w:t>.  There will be regular assessment points throughout the term</w:t>
      </w:r>
      <w:r w:rsidR="00553D48">
        <w:rPr>
          <w:rFonts w:ascii="OpenDyslexic" w:hAnsi="OpenDyslexic"/>
          <w:sz w:val="28"/>
        </w:rPr>
        <w:t xml:space="preserve"> and we will assess your</w:t>
      </w:r>
      <w:r w:rsidR="00B33B0F">
        <w:rPr>
          <w:rFonts w:ascii="OpenDyslexic" w:hAnsi="OpenDyslexic"/>
          <w:sz w:val="28"/>
        </w:rPr>
        <w:t xml:space="preserve"> knowledge of the</w:t>
      </w:r>
      <w:r w:rsidR="00480E45">
        <w:rPr>
          <w:rFonts w:ascii="OpenDyslexic" w:hAnsi="OpenDyslexic"/>
          <w:sz w:val="28"/>
        </w:rPr>
        <w:t xml:space="preserve"> wee</w:t>
      </w:r>
      <w:r w:rsidR="00B529BA">
        <w:rPr>
          <w:rFonts w:ascii="OpenDyslexic" w:hAnsi="OpenDyslexic"/>
          <w:sz w:val="28"/>
        </w:rPr>
        <w:t>kly focus spellings throughout the week.</w:t>
      </w:r>
    </w:p>
    <w:tbl>
      <w:tblPr>
        <w:tblStyle w:val="TableGrid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2310"/>
        <w:gridCol w:w="2862"/>
        <w:gridCol w:w="2870"/>
        <w:gridCol w:w="2515"/>
        <w:gridCol w:w="2386"/>
        <w:gridCol w:w="2445"/>
      </w:tblGrid>
      <w:tr w:rsidR="00887DFC" w14:paraId="523B582D" w14:textId="77777777" w:rsidTr="001137ED">
        <w:tc>
          <w:tcPr>
            <w:tcW w:w="2310" w:type="dxa"/>
            <w:shd w:val="clear" w:color="auto" w:fill="DEEAF6" w:themeFill="accent1" w:themeFillTint="33"/>
          </w:tcPr>
          <w:p w14:paraId="56CE06C3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1</w:t>
            </w:r>
          </w:p>
          <w:p w14:paraId="38E65655" w14:textId="74EA5384" w:rsidR="00706973" w:rsidRPr="00706973" w:rsidRDefault="00706973" w:rsidP="00B33B0F">
            <w:pPr>
              <w:jc w:val="center"/>
              <w:rPr>
                <w:rFonts w:ascii="OpenDyslexic" w:hAnsi="OpenDyslexic"/>
              </w:rPr>
            </w:pPr>
            <w:r w:rsidRPr="00CC45F2">
              <w:rPr>
                <w:rFonts w:ascii="OpenDyslexic" w:hAnsi="OpenDyslexic"/>
                <w:highlight w:val="yellow"/>
              </w:rPr>
              <w:t xml:space="preserve">WB </w:t>
            </w:r>
            <w:r w:rsidR="00806FC2">
              <w:rPr>
                <w:rFonts w:ascii="OpenDyslexic" w:hAnsi="OpenDyslexic"/>
              </w:rPr>
              <w:t>5.6.23</w:t>
            </w:r>
          </w:p>
          <w:p w14:paraId="778ADF81" w14:textId="10A51F99" w:rsidR="00B33B0F" w:rsidRDefault="00CC45F2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color w:val="FF0000"/>
                <w:sz w:val="18"/>
              </w:rPr>
              <w:t>Statutory spelling words</w:t>
            </w:r>
          </w:p>
        </w:tc>
        <w:tc>
          <w:tcPr>
            <w:tcW w:w="2862" w:type="dxa"/>
            <w:shd w:val="clear" w:color="auto" w:fill="DEEAF6" w:themeFill="accent1" w:themeFillTint="33"/>
          </w:tcPr>
          <w:p w14:paraId="25AD55E5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2</w:t>
            </w:r>
          </w:p>
          <w:p w14:paraId="05C4F9C0" w14:textId="41994C6A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 w:rsidRPr="00563E0E">
              <w:rPr>
                <w:rFonts w:ascii="OpenDyslexic" w:hAnsi="OpenDyslexic"/>
                <w:highlight w:val="yellow"/>
              </w:rPr>
              <w:t xml:space="preserve">WB </w:t>
            </w:r>
            <w:r w:rsidR="00806FC2">
              <w:rPr>
                <w:rFonts w:ascii="OpenDyslexic" w:hAnsi="OpenDyslexic"/>
              </w:rPr>
              <w:t>12.6.23</w:t>
            </w:r>
          </w:p>
          <w:p w14:paraId="70AE0022" w14:textId="1B5E811F" w:rsidR="00B33B0F" w:rsidRPr="00CC45F2" w:rsidRDefault="00CC45F2" w:rsidP="00806FC2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  <w:r>
              <w:rPr>
                <w:rFonts w:ascii="OpenDyslexic" w:hAnsi="OpenDyslexic"/>
                <w:color w:val="FF0000"/>
                <w:sz w:val="18"/>
                <w:szCs w:val="18"/>
              </w:rPr>
              <w:t xml:space="preserve">Words </w:t>
            </w:r>
            <w:r w:rsidR="00806FC2">
              <w:rPr>
                <w:rFonts w:ascii="OpenDyslexic" w:hAnsi="OpenDyslexic"/>
                <w:color w:val="FF0000"/>
                <w:sz w:val="18"/>
                <w:szCs w:val="18"/>
              </w:rPr>
              <w:t>with the suffix ‘</w:t>
            </w:r>
            <w:proofErr w:type="spellStart"/>
            <w:r w:rsidR="00806FC2">
              <w:rPr>
                <w:rFonts w:ascii="OpenDyslexic" w:hAnsi="OpenDyslexic"/>
                <w:color w:val="FF0000"/>
                <w:sz w:val="18"/>
                <w:szCs w:val="18"/>
              </w:rPr>
              <w:t>ous</w:t>
            </w:r>
            <w:proofErr w:type="spellEnd"/>
            <w:r w:rsidR="00806FC2">
              <w:rPr>
                <w:rFonts w:ascii="OpenDyslexic" w:hAnsi="OpenDyslexic"/>
                <w:color w:val="FF0000"/>
                <w:sz w:val="18"/>
                <w:szCs w:val="18"/>
              </w:rPr>
              <w:t>’</w:t>
            </w:r>
            <w:r>
              <w:rPr>
                <w:rFonts w:ascii="OpenDyslexic" w:hAnsi="OpenDyslexic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70" w:type="dxa"/>
            <w:shd w:val="clear" w:color="auto" w:fill="DEEAF6" w:themeFill="accent1" w:themeFillTint="33"/>
          </w:tcPr>
          <w:p w14:paraId="5E47F9D5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3</w:t>
            </w:r>
          </w:p>
          <w:p w14:paraId="0A48465C" w14:textId="7EF309DC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 w:rsidRPr="002A46A8">
              <w:rPr>
                <w:rFonts w:ascii="OpenDyslexic" w:hAnsi="OpenDyslexic"/>
                <w:highlight w:val="yellow"/>
              </w:rPr>
              <w:t xml:space="preserve">WB </w:t>
            </w:r>
            <w:r w:rsidR="00806FC2">
              <w:rPr>
                <w:rFonts w:ascii="OpenDyslexic" w:hAnsi="OpenDyslexic"/>
              </w:rPr>
              <w:t>19/6/23</w:t>
            </w:r>
          </w:p>
          <w:p w14:paraId="11BFF311" w14:textId="5578DB9A" w:rsidR="00887DFC" w:rsidRPr="00563E0E" w:rsidRDefault="00B009C3" w:rsidP="00806FC2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  <w:r>
              <w:rPr>
                <w:rFonts w:ascii="OpenDyslexic" w:hAnsi="OpenDyslexic"/>
                <w:color w:val="FF0000"/>
                <w:sz w:val="18"/>
                <w:szCs w:val="18"/>
              </w:rPr>
              <w:t>Re-capping w</w:t>
            </w:r>
            <w:r w:rsidR="00887DFC">
              <w:rPr>
                <w:rFonts w:ascii="OpenDyslexic" w:hAnsi="OpenDyslexic"/>
                <w:color w:val="FF0000"/>
                <w:sz w:val="18"/>
                <w:szCs w:val="18"/>
              </w:rPr>
              <w:t xml:space="preserve">ords </w:t>
            </w:r>
            <w:r w:rsidR="00806FC2">
              <w:rPr>
                <w:rFonts w:ascii="OpenDyslexic" w:hAnsi="OpenDyslexic"/>
                <w:color w:val="FF0000"/>
                <w:sz w:val="18"/>
                <w:szCs w:val="18"/>
              </w:rPr>
              <w:t>that begin with prefixes</w:t>
            </w:r>
          </w:p>
        </w:tc>
        <w:tc>
          <w:tcPr>
            <w:tcW w:w="2515" w:type="dxa"/>
            <w:shd w:val="clear" w:color="auto" w:fill="DEEAF6" w:themeFill="accent1" w:themeFillTint="33"/>
          </w:tcPr>
          <w:p w14:paraId="0BDC9D22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4</w:t>
            </w:r>
          </w:p>
          <w:p w14:paraId="2984DF8B" w14:textId="4A2D0E23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>
              <w:rPr>
                <w:rFonts w:ascii="OpenDyslexic" w:hAnsi="OpenDyslexic"/>
                <w:highlight w:val="yellow"/>
              </w:rPr>
              <w:t xml:space="preserve">WB </w:t>
            </w:r>
            <w:r w:rsidR="00806FC2">
              <w:rPr>
                <w:rFonts w:ascii="OpenDyslexic" w:hAnsi="OpenDyslexic"/>
              </w:rPr>
              <w:t>26.6.23</w:t>
            </w:r>
          </w:p>
          <w:p w14:paraId="07C151B2" w14:textId="68B27B32" w:rsidR="008B209C" w:rsidRPr="00887DFC" w:rsidRDefault="00B009C3" w:rsidP="00806FC2">
            <w:pPr>
              <w:jc w:val="center"/>
              <w:rPr>
                <w:rFonts w:ascii="OpenDyslexic" w:hAnsi="OpenDyslexic"/>
                <w:color w:val="FF0000"/>
                <w:sz w:val="18"/>
              </w:rPr>
            </w:pPr>
            <w:r>
              <w:rPr>
                <w:rFonts w:ascii="OpenDyslexic" w:hAnsi="OpenDyslexic"/>
                <w:color w:val="FF0000"/>
                <w:sz w:val="18"/>
              </w:rPr>
              <w:t xml:space="preserve">Re-capping </w:t>
            </w:r>
            <w:r w:rsidR="00806FC2">
              <w:rPr>
                <w:rFonts w:ascii="OpenDyslexic" w:hAnsi="OpenDyslexic"/>
                <w:color w:val="FF0000"/>
                <w:sz w:val="18"/>
              </w:rPr>
              <w:t>words that begin with prefixes</w:t>
            </w:r>
            <w:r w:rsidR="00887DFC">
              <w:rPr>
                <w:rFonts w:ascii="OpenDyslexic" w:hAnsi="OpenDyslexic"/>
                <w:color w:val="FF0000"/>
                <w:sz w:val="18"/>
              </w:rPr>
              <w:t xml:space="preserve"> 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14:paraId="1E67D0BD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5</w:t>
            </w:r>
          </w:p>
          <w:p w14:paraId="0FBFA98C" w14:textId="1C2E7200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>
              <w:rPr>
                <w:rFonts w:ascii="OpenDyslexic" w:hAnsi="OpenDyslexic"/>
                <w:highlight w:val="yellow"/>
              </w:rPr>
              <w:t xml:space="preserve">WB </w:t>
            </w:r>
            <w:r w:rsidR="00806FC2">
              <w:rPr>
                <w:rFonts w:ascii="OpenDyslexic" w:hAnsi="OpenDyslexic"/>
              </w:rPr>
              <w:t>3.7.23</w:t>
            </w:r>
          </w:p>
          <w:p w14:paraId="0982374C" w14:textId="5B00F58D" w:rsidR="00887DFC" w:rsidRDefault="00806FC2" w:rsidP="00887DFC">
            <w:pPr>
              <w:jc w:val="center"/>
              <w:rPr>
                <w:rFonts w:ascii="OpenDyslexic" w:hAnsi="OpenDyslexic"/>
                <w:color w:val="FF0000"/>
                <w:sz w:val="18"/>
              </w:rPr>
            </w:pPr>
            <w:r>
              <w:rPr>
                <w:rFonts w:ascii="OpenDyslexic" w:hAnsi="OpenDyslexic"/>
                <w:color w:val="FF0000"/>
                <w:sz w:val="18"/>
              </w:rPr>
              <w:t>Adding the suffix ‘</w:t>
            </w:r>
            <w:proofErr w:type="spellStart"/>
            <w:r>
              <w:rPr>
                <w:rFonts w:ascii="OpenDyslexic" w:hAnsi="OpenDyslexic"/>
                <w:color w:val="FF0000"/>
                <w:sz w:val="18"/>
              </w:rPr>
              <w:t>ly</w:t>
            </w:r>
            <w:proofErr w:type="spellEnd"/>
            <w:r>
              <w:rPr>
                <w:rFonts w:ascii="OpenDyslexic" w:hAnsi="OpenDyslexic"/>
                <w:color w:val="FF0000"/>
                <w:sz w:val="18"/>
              </w:rPr>
              <w:t>’ to words ending in –y, -</w:t>
            </w:r>
            <w:proofErr w:type="spellStart"/>
            <w:r>
              <w:rPr>
                <w:rFonts w:ascii="OpenDyslexic" w:hAnsi="OpenDyslexic"/>
                <w:color w:val="FF0000"/>
                <w:sz w:val="18"/>
              </w:rPr>
              <w:t>lt</w:t>
            </w:r>
            <w:proofErr w:type="spellEnd"/>
            <w:r>
              <w:rPr>
                <w:rFonts w:ascii="OpenDyslexic" w:hAnsi="OpenDyslexic"/>
                <w:color w:val="FF0000"/>
                <w:sz w:val="18"/>
              </w:rPr>
              <w:t>, and -</w:t>
            </w:r>
            <w:proofErr w:type="spellStart"/>
            <w:r>
              <w:rPr>
                <w:rFonts w:ascii="OpenDyslexic" w:hAnsi="OpenDyslexic"/>
                <w:color w:val="FF0000"/>
                <w:sz w:val="18"/>
              </w:rPr>
              <w:t>ic</w:t>
            </w:r>
            <w:proofErr w:type="spellEnd"/>
          </w:p>
          <w:p w14:paraId="46D80CE4" w14:textId="63900CEA" w:rsidR="00B33B0F" w:rsidRPr="00887DFC" w:rsidRDefault="00B33B0F" w:rsidP="00B33B0F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DEEAF6" w:themeFill="accent1" w:themeFillTint="33"/>
          </w:tcPr>
          <w:p w14:paraId="69736709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Week6</w:t>
            </w:r>
          </w:p>
          <w:p w14:paraId="0B44A6CE" w14:textId="6EBA4914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>
              <w:rPr>
                <w:rFonts w:ascii="OpenDyslexic" w:hAnsi="OpenDyslexic"/>
                <w:highlight w:val="yellow"/>
              </w:rPr>
              <w:t xml:space="preserve">WB </w:t>
            </w:r>
            <w:r w:rsidR="005C2B9D">
              <w:rPr>
                <w:rFonts w:ascii="OpenDyslexic" w:hAnsi="OpenDyslexic"/>
              </w:rPr>
              <w:t>10.7.23</w:t>
            </w:r>
          </w:p>
          <w:p w14:paraId="626C5F67" w14:textId="77777777" w:rsidR="00B33B0F" w:rsidRDefault="008C1D41" w:rsidP="00B33B0F">
            <w:pPr>
              <w:jc w:val="center"/>
              <w:rPr>
                <w:rFonts w:ascii="OpenDyslexic" w:hAnsi="OpenDyslexic"/>
                <w:color w:val="FF0000"/>
                <w:sz w:val="20"/>
              </w:rPr>
            </w:pPr>
            <w:r>
              <w:rPr>
                <w:rFonts w:ascii="OpenDyslexic" w:hAnsi="OpenDyslexic"/>
                <w:color w:val="FF0000"/>
                <w:sz w:val="20"/>
              </w:rPr>
              <w:t>Statutory spelling</w:t>
            </w:r>
          </w:p>
          <w:p w14:paraId="63BFDAD7" w14:textId="2322F933" w:rsidR="008C1D41" w:rsidRPr="008C1D41" w:rsidRDefault="008C1D41" w:rsidP="00B33B0F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  <w:r w:rsidRPr="008C1D41">
              <w:rPr>
                <w:rFonts w:ascii="OpenDyslexic" w:hAnsi="OpenDyslexic"/>
                <w:color w:val="FF0000"/>
                <w:sz w:val="18"/>
                <w:szCs w:val="18"/>
              </w:rPr>
              <w:t>words</w:t>
            </w:r>
          </w:p>
        </w:tc>
      </w:tr>
      <w:tr w:rsidR="00806FC2" w14:paraId="484CCF7F" w14:textId="77777777" w:rsidTr="001137ED">
        <w:tc>
          <w:tcPr>
            <w:tcW w:w="2310" w:type="dxa"/>
          </w:tcPr>
          <w:p w14:paraId="49B289AB" w14:textId="0A4FD9F0" w:rsidR="00806FC2" w:rsidRPr="00806FC2" w:rsidRDefault="00806FC2" w:rsidP="00806FC2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material</w:t>
            </w:r>
          </w:p>
        </w:tc>
        <w:tc>
          <w:tcPr>
            <w:tcW w:w="2862" w:type="dxa"/>
          </w:tcPr>
          <w:p w14:paraId="61583E5C" w14:textId="584F3951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40"/>
              </w:rPr>
              <w:t>furi</w:t>
            </w:r>
            <w:r w:rsidRPr="00806FC2">
              <w:rPr>
                <w:rFonts w:ascii="OpenDyslexic" w:hAnsi="OpenDyslexic"/>
                <w:color w:val="FF0000"/>
                <w:sz w:val="40"/>
              </w:rPr>
              <w:t>ous</w:t>
            </w:r>
          </w:p>
        </w:tc>
        <w:tc>
          <w:tcPr>
            <w:tcW w:w="2870" w:type="dxa"/>
          </w:tcPr>
          <w:p w14:paraId="115D3614" w14:textId="75ABD486" w:rsidR="00806FC2" w:rsidRPr="001D1BC1" w:rsidRDefault="00806FC2" w:rsidP="00806FC2">
            <w:pPr>
              <w:jc w:val="center"/>
              <w:rPr>
                <w:rFonts w:ascii="OpenDyslexic" w:hAnsi="OpenDyslexic"/>
                <w:sz w:val="40"/>
                <w:szCs w:val="40"/>
              </w:rPr>
            </w:pPr>
            <w:r w:rsidRPr="00806FC2">
              <w:rPr>
                <w:rFonts w:ascii="OpenDyslexic" w:hAnsi="OpenDyslexic"/>
                <w:color w:val="FF0000"/>
                <w:sz w:val="40"/>
                <w:szCs w:val="40"/>
              </w:rPr>
              <w:t>un</w:t>
            </w:r>
            <w:r>
              <w:rPr>
                <w:rFonts w:ascii="OpenDyslexic" w:hAnsi="OpenDyslexic"/>
                <w:sz w:val="40"/>
                <w:szCs w:val="40"/>
              </w:rPr>
              <w:t>finished</w:t>
            </w:r>
          </w:p>
        </w:tc>
        <w:tc>
          <w:tcPr>
            <w:tcW w:w="2515" w:type="dxa"/>
          </w:tcPr>
          <w:p w14:paraId="3FF04AE6" w14:textId="69A4D444" w:rsid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color w:val="FF0000"/>
                <w:sz w:val="40"/>
              </w:rPr>
              <w:t>anti</w:t>
            </w:r>
            <w:r>
              <w:rPr>
                <w:rFonts w:ascii="OpenDyslexic" w:hAnsi="OpenDyslexic"/>
                <w:sz w:val="40"/>
              </w:rPr>
              <w:t>biotic</w:t>
            </w:r>
          </w:p>
        </w:tc>
        <w:tc>
          <w:tcPr>
            <w:tcW w:w="2386" w:type="dxa"/>
          </w:tcPr>
          <w:p w14:paraId="007624C9" w14:textId="4A5693B0" w:rsidR="00806FC2" w:rsidRPr="005C2B9D" w:rsidRDefault="005C2B9D" w:rsidP="00806FC2">
            <w:pPr>
              <w:jc w:val="center"/>
              <w:rPr>
                <w:rFonts w:ascii="OpenDyslexic" w:hAnsi="OpenDyslexic"/>
                <w:sz w:val="40"/>
                <w:szCs w:val="40"/>
              </w:rPr>
            </w:pPr>
            <w:r w:rsidRPr="005C2B9D">
              <w:rPr>
                <w:rFonts w:ascii="OpenDyslexic" w:hAnsi="OpenDyslexic"/>
                <w:sz w:val="40"/>
                <w:szCs w:val="40"/>
              </w:rPr>
              <w:t>happily</w:t>
            </w:r>
          </w:p>
        </w:tc>
        <w:tc>
          <w:tcPr>
            <w:tcW w:w="2445" w:type="dxa"/>
          </w:tcPr>
          <w:p w14:paraId="4F6DF495" w14:textId="7B579157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quarter</w:t>
            </w:r>
          </w:p>
        </w:tc>
      </w:tr>
      <w:tr w:rsidR="00806FC2" w14:paraId="01B0E5D0" w14:textId="77777777" w:rsidTr="001137ED">
        <w:tc>
          <w:tcPr>
            <w:tcW w:w="2310" w:type="dxa"/>
          </w:tcPr>
          <w:p w14:paraId="45C1187F" w14:textId="283B6B54" w:rsidR="00806FC2" w:rsidRPr="00806FC2" w:rsidRDefault="00806FC2" w:rsidP="00806FC2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medicine</w:t>
            </w:r>
          </w:p>
        </w:tc>
        <w:tc>
          <w:tcPr>
            <w:tcW w:w="2862" w:type="dxa"/>
          </w:tcPr>
          <w:p w14:paraId="1BD5A66B" w14:textId="53A3F949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40"/>
              </w:rPr>
              <w:t>danger</w:t>
            </w:r>
            <w:r w:rsidRPr="00806FC2">
              <w:rPr>
                <w:rFonts w:ascii="OpenDyslexic" w:hAnsi="OpenDyslexic"/>
                <w:color w:val="FF0000"/>
                <w:sz w:val="40"/>
              </w:rPr>
              <w:t>ous</w:t>
            </w:r>
          </w:p>
        </w:tc>
        <w:tc>
          <w:tcPr>
            <w:tcW w:w="2870" w:type="dxa"/>
          </w:tcPr>
          <w:p w14:paraId="6E5E0806" w14:textId="2C5ADC72" w:rsidR="00806FC2" w:rsidRPr="00887DFC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color w:val="FF0000"/>
                <w:sz w:val="40"/>
              </w:rPr>
              <w:t>re</w:t>
            </w:r>
            <w:r>
              <w:rPr>
                <w:rFonts w:ascii="OpenDyslexic" w:hAnsi="OpenDyslexic"/>
                <w:sz w:val="40"/>
              </w:rPr>
              <w:t>attach</w:t>
            </w:r>
          </w:p>
        </w:tc>
        <w:tc>
          <w:tcPr>
            <w:tcW w:w="2515" w:type="dxa"/>
          </w:tcPr>
          <w:p w14:paraId="2866AE04" w14:textId="1DADA078" w:rsidR="00806FC2" w:rsidRPr="00806FC2" w:rsidRDefault="00806FC2" w:rsidP="00806FC2">
            <w:pPr>
              <w:jc w:val="center"/>
              <w:rPr>
                <w:rFonts w:ascii="OpenDyslexic" w:hAnsi="OpenDyslexic"/>
                <w:sz w:val="30"/>
                <w:szCs w:val="30"/>
              </w:rPr>
            </w:pPr>
            <w:r w:rsidRPr="00806FC2">
              <w:rPr>
                <w:rFonts w:ascii="OpenDyslexic" w:hAnsi="OpenDyslexic"/>
                <w:color w:val="FF0000"/>
                <w:sz w:val="30"/>
                <w:szCs w:val="30"/>
              </w:rPr>
              <w:t>super</w:t>
            </w:r>
            <w:r w:rsidRPr="00806FC2">
              <w:rPr>
                <w:rFonts w:ascii="OpenDyslexic" w:hAnsi="OpenDyslexic"/>
                <w:sz w:val="30"/>
                <w:szCs w:val="30"/>
              </w:rPr>
              <w:t>power</w:t>
            </w:r>
          </w:p>
        </w:tc>
        <w:tc>
          <w:tcPr>
            <w:tcW w:w="2386" w:type="dxa"/>
          </w:tcPr>
          <w:p w14:paraId="062E8F39" w14:textId="3ADE0E52" w:rsidR="00806FC2" w:rsidRPr="005C2B9D" w:rsidRDefault="005C2B9D" w:rsidP="00806FC2">
            <w:pPr>
              <w:jc w:val="center"/>
              <w:rPr>
                <w:rFonts w:ascii="OpenDyslexic" w:hAnsi="OpenDyslexic"/>
                <w:sz w:val="40"/>
                <w:szCs w:val="40"/>
              </w:rPr>
            </w:pPr>
            <w:r w:rsidRPr="005C2B9D">
              <w:rPr>
                <w:rFonts w:ascii="OpenDyslexic" w:hAnsi="OpenDyslexic"/>
                <w:sz w:val="40"/>
                <w:szCs w:val="40"/>
              </w:rPr>
              <w:t>easily</w:t>
            </w:r>
          </w:p>
        </w:tc>
        <w:tc>
          <w:tcPr>
            <w:tcW w:w="2445" w:type="dxa"/>
          </w:tcPr>
          <w:p w14:paraId="433920EC" w14:textId="7CF5FE41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regular</w:t>
            </w:r>
          </w:p>
        </w:tc>
      </w:tr>
      <w:tr w:rsidR="00806FC2" w14:paraId="0CFCD724" w14:textId="77777777" w:rsidTr="001137ED">
        <w:tc>
          <w:tcPr>
            <w:tcW w:w="2310" w:type="dxa"/>
          </w:tcPr>
          <w:p w14:paraId="7A6D1B80" w14:textId="003A0ECB" w:rsidR="00806FC2" w:rsidRPr="00806FC2" w:rsidRDefault="00806FC2" w:rsidP="00806FC2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peculiar</w:t>
            </w:r>
          </w:p>
        </w:tc>
        <w:tc>
          <w:tcPr>
            <w:tcW w:w="2862" w:type="dxa"/>
          </w:tcPr>
          <w:p w14:paraId="46C4ED85" w14:textId="48AF9A66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40"/>
              </w:rPr>
              <w:t>spaci</w:t>
            </w:r>
            <w:r w:rsidRPr="00806FC2">
              <w:rPr>
                <w:rFonts w:ascii="OpenDyslexic" w:hAnsi="OpenDyslexic"/>
                <w:color w:val="FF0000"/>
                <w:sz w:val="40"/>
              </w:rPr>
              <w:t>ous</w:t>
            </w:r>
          </w:p>
        </w:tc>
        <w:tc>
          <w:tcPr>
            <w:tcW w:w="2870" w:type="dxa"/>
          </w:tcPr>
          <w:p w14:paraId="0BD8E701" w14:textId="48731A73" w:rsidR="00806FC2" w:rsidRPr="00887DFC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color w:val="FF0000"/>
                <w:sz w:val="40"/>
              </w:rPr>
              <w:t>in</w:t>
            </w:r>
            <w:r>
              <w:rPr>
                <w:rFonts w:ascii="OpenDyslexic" w:hAnsi="OpenDyslexic"/>
                <w:sz w:val="40"/>
              </w:rPr>
              <w:t>finite</w:t>
            </w:r>
          </w:p>
        </w:tc>
        <w:tc>
          <w:tcPr>
            <w:tcW w:w="2515" w:type="dxa"/>
          </w:tcPr>
          <w:p w14:paraId="1B22C31E" w14:textId="42CBD935" w:rsidR="00806FC2" w:rsidRPr="00806FC2" w:rsidRDefault="00806FC2" w:rsidP="00806FC2">
            <w:pPr>
              <w:jc w:val="center"/>
              <w:rPr>
                <w:rFonts w:ascii="OpenDyslexic" w:hAnsi="OpenDyslexic"/>
                <w:sz w:val="30"/>
                <w:szCs w:val="30"/>
              </w:rPr>
            </w:pPr>
            <w:r w:rsidRPr="00806FC2">
              <w:rPr>
                <w:rFonts w:ascii="OpenDyslexic" w:hAnsi="OpenDyslexic"/>
                <w:color w:val="FF0000"/>
                <w:sz w:val="30"/>
                <w:szCs w:val="30"/>
              </w:rPr>
              <w:t>dis</w:t>
            </w:r>
            <w:r w:rsidRPr="00806FC2">
              <w:rPr>
                <w:rFonts w:ascii="OpenDyslexic" w:hAnsi="OpenDyslexic"/>
                <w:sz w:val="30"/>
                <w:szCs w:val="30"/>
              </w:rPr>
              <w:t>interested</w:t>
            </w:r>
          </w:p>
        </w:tc>
        <w:tc>
          <w:tcPr>
            <w:tcW w:w="2386" w:type="dxa"/>
          </w:tcPr>
          <w:p w14:paraId="1FA420C1" w14:textId="6F440EA3" w:rsidR="00806FC2" w:rsidRPr="005C2B9D" w:rsidRDefault="005C2B9D" w:rsidP="00806FC2">
            <w:pPr>
              <w:jc w:val="center"/>
              <w:rPr>
                <w:rFonts w:ascii="OpenDyslexic" w:hAnsi="OpenDyslexic"/>
                <w:sz w:val="40"/>
                <w:szCs w:val="40"/>
              </w:rPr>
            </w:pPr>
            <w:r w:rsidRPr="005C2B9D">
              <w:rPr>
                <w:rFonts w:ascii="OpenDyslexic" w:hAnsi="OpenDyslexic"/>
                <w:sz w:val="40"/>
                <w:szCs w:val="40"/>
              </w:rPr>
              <w:t>gently</w:t>
            </w:r>
          </w:p>
        </w:tc>
        <w:tc>
          <w:tcPr>
            <w:tcW w:w="2445" w:type="dxa"/>
          </w:tcPr>
          <w:p w14:paraId="76895132" w14:textId="0D9A6116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separate</w:t>
            </w:r>
          </w:p>
        </w:tc>
      </w:tr>
      <w:tr w:rsidR="00806FC2" w14:paraId="04E0BCE8" w14:textId="77777777" w:rsidTr="001137ED">
        <w:tc>
          <w:tcPr>
            <w:tcW w:w="2310" w:type="dxa"/>
          </w:tcPr>
          <w:p w14:paraId="5AD629D0" w14:textId="58FD4324" w:rsidR="00806FC2" w:rsidRPr="00806FC2" w:rsidRDefault="00806FC2" w:rsidP="00806FC2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popular</w:t>
            </w:r>
          </w:p>
        </w:tc>
        <w:tc>
          <w:tcPr>
            <w:tcW w:w="2862" w:type="dxa"/>
          </w:tcPr>
          <w:p w14:paraId="650EF111" w14:textId="3B64D843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40"/>
              </w:rPr>
              <w:t>fam</w:t>
            </w:r>
            <w:r w:rsidRPr="00806FC2">
              <w:rPr>
                <w:rFonts w:ascii="OpenDyslexic" w:hAnsi="OpenDyslexic"/>
                <w:color w:val="FF0000"/>
                <w:sz w:val="40"/>
              </w:rPr>
              <w:t>ous</w:t>
            </w:r>
          </w:p>
        </w:tc>
        <w:tc>
          <w:tcPr>
            <w:tcW w:w="2870" w:type="dxa"/>
          </w:tcPr>
          <w:p w14:paraId="09431795" w14:textId="66FE2168" w:rsidR="00806FC2" w:rsidRPr="00887DFC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color w:val="FF0000"/>
                <w:sz w:val="36"/>
                <w:szCs w:val="36"/>
              </w:rPr>
              <w:t>sub</w:t>
            </w:r>
            <w:r>
              <w:rPr>
                <w:rFonts w:ascii="OpenDyslexic" w:hAnsi="OpenDyslexic"/>
                <w:sz w:val="36"/>
                <w:szCs w:val="36"/>
              </w:rPr>
              <w:t>marine</w:t>
            </w:r>
          </w:p>
        </w:tc>
        <w:tc>
          <w:tcPr>
            <w:tcW w:w="2515" w:type="dxa"/>
          </w:tcPr>
          <w:p w14:paraId="6DEC7303" w14:textId="607AC065" w:rsid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color w:val="FF0000"/>
                <w:sz w:val="40"/>
              </w:rPr>
              <w:t>auto</w:t>
            </w:r>
            <w:r>
              <w:rPr>
                <w:rFonts w:ascii="OpenDyslexic" w:hAnsi="OpenDyslexic"/>
                <w:sz w:val="40"/>
              </w:rPr>
              <w:t>matic</w:t>
            </w:r>
          </w:p>
        </w:tc>
        <w:tc>
          <w:tcPr>
            <w:tcW w:w="2386" w:type="dxa"/>
          </w:tcPr>
          <w:p w14:paraId="230529A9" w14:textId="4CF96847" w:rsidR="00806FC2" w:rsidRPr="005C2B9D" w:rsidRDefault="005C2B9D" w:rsidP="00806FC2">
            <w:pPr>
              <w:jc w:val="center"/>
              <w:rPr>
                <w:rFonts w:ascii="OpenDyslexic" w:hAnsi="OpenDyslexic"/>
                <w:sz w:val="40"/>
                <w:szCs w:val="40"/>
              </w:rPr>
            </w:pPr>
            <w:r w:rsidRPr="005C2B9D">
              <w:rPr>
                <w:rFonts w:ascii="OpenDyslexic" w:hAnsi="OpenDyslexic"/>
                <w:sz w:val="40"/>
                <w:szCs w:val="40"/>
              </w:rPr>
              <w:t>basically</w:t>
            </w:r>
          </w:p>
        </w:tc>
        <w:tc>
          <w:tcPr>
            <w:tcW w:w="2445" w:type="dxa"/>
          </w:tcPr>
          <w:p w14:paraId="181BFDB5" w14:textId="5A251087" w:rsidR="00806FC2" w:rsidRPr="00806FC2" w:rsidRDefault="00806FC2" w:rsidP="00806FC2">
            <w:pPr>
              <w:jc w:val="center"/>
              <w:rPr>
                <w:rFonts w:ascii="OpenDyslexic" w:hAnsi="OpenDyslexic"/>
                <w:sz w:val="40"/>
              </w:rPr>
            </w:pPr>
            <w:r w:rsidRPr="00806FC2">
              <w:rPr>
                <w:rFonts w:ascii="OpenDyslexic" w:hAnsi="OpenDyslexic"/>
                <w:sz w:val="36"/>
                <w:szCs w:val="36"/>
              </w:rPr>
              <w:t>suppose</w:t>
            </w:r>
          </w:p>
        </w:tc>
      </w:tr>
    </w:tbl>
    <w:p w14:paraId="3CBBD3F1" w14:textId="77777777" w:rsidR="00B33B0F" w:rsidRDefault="00B33B0F" w:rsidP="004626FA">
      <w:pPr>
        <w:rPr>
          <w:rFonts w:ascii="OpenDyslexic" w:hAnsi="OpenDyslexic"/>
          <w:sz w:val="28"/>
        </w:rPr>
      </w:pPr>
      <w:r>
        <w:rPr>
          <w:rFonts w:ascii="OpenDyslexic" w:hAnsi="OpenDyslexic"/>
          <w:sz w:val="28"/>
        </w:rPr>
        <w:t>These focus words are a continuation of the learning that has taken place at school.  There is a limited number of words to enable deeper learning of increasingly complex words.</w:t>
      </w:r>
    </w:p>
    <w:p w14:paraId="0CBE9F38" w14:textId="77777777" w:rsidR="00480E45" w:rsidRDefault="00480E45" w:rsidP="004626FA">
      <w:pPr>
        <w:rPr>
          <w:rFonts w:ascii="OpenDyslexic" w:hAnsi="OpenDyslexic"/>
          <w:sz w:val="28"/>
        </w:rPr>
      </w:pPr>
    </w:p>
    <w:p w14:paraId="07EED295" w14:textId="77777777" w:rsidR="00480E45" w:rsidRDefault="00480E45" w:rsidP="004626FA">
      <w:pPr>
        <w:rPr>
          <w:rFonts w:ascii="OpenDyslexic" w:hAnsi="OpenDyslexic"/>
          <w:sz w:val="28"/>
        </w:rPr>
      </w:pPr>
    </w:p>
    <w:p w14:paraId="70114A2F" w14:textId="77777777" w:rsidR="00480E45" w:rsidRDefault="00480E45" w:rsidP="004626FA">
      <w:pPr>
        <w:rPr>
          <w:rFonts w:ascii="OpenDyslexic" w:hAnsi="OpenDyslexic"/>
          <w:sz w:val="28"/>
        </w:rPr>
      </w:pPr>
      <w:r w:rsidRPr="00480E45">
        <w:rPr>
          <w:rFonts w:ascii="OpenDyslexic" w:hAnsi="OpenDyslexic"/>
          <w:noProof/>
          <w:sz w:val="28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E85C76C" wp14:editId="7D406B99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9777730" cy="5012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7E5C8" w14:textId="77777777" w:rsidR="00480E45" w:rsidRPr="00480E45" w:rsidRDefault="00480E45" w:rsidP="004626FA">
      <w:pPr>
        <w:rPr>
          <w:rFonts w:ascii="OpenDyslexic" w:hAnsi="OpenDyslexic"/>
          <w:sz w:val="28"/>
        </w:rPr>
      </w:pPr>
    </w:p>
    <w:p w14:paraId="61171B78" w14:textId="77777777" w:rsidR="00560A78" w:rsidRPr="004626FA" w:rsidRDefault="00560A78" w:rsidP="004626FA">
      <w:pPr>
        <w:rPr>
          <w:rFonts w:ascii="OpenDyslexic" w:hAnsi="OpenDyslexic"/>
          <w:sz w:val="40"/>
        </w:rPr>
      </w:pPr>
    </w:p>
    <w:sectPr w:rsidR="00560A78" w:rsidRPr="004626FA" w:rsidSect="00462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34"/>
    <w:rsid w:val="0000067D"/>
    <w:rsid w:val="0000078E"/>
    <w:rsid w:val="0002705A"/>
    <w:rsid w:val="00075134"/>
    <w:rsid w:val="000A69F4"/>
    <w:rsid w:val="001137ED"/>
    <w:rsid w:val="00121989"/>
    <w:rsid w:val="001A3D3D"/>
    <w:rsid w:val="001D1BC1"/>
    <w:rsid w:val="002A46A8"/>
    <w:rsid w:val="003A169C"/>
    <w:rsid w:val="003C515E"/>
    <w:rsid w:val="004626FA"/>
    <w:rsid w:val="00480E45"/>
    <w:rsid w:val="00553D48"/>
    <w:rsid w:val="005604E7"/>
    <w:rsid w:val="00560A78"/>
    <w:rsid w:val="00563E0E"/>
    <w:rsid w:val="005C2B9D"/>
    <w:rsid w:val="0067640E"/>
    <w:rsid w:val="006E6131"/>
    <w:rsid w:val="00706973"/>
    <w:rsid w:val="007628F5"/>
    <w:rsid w:val="00806FC2"/>
    <w:rsid w:val="00887DFC"/>
    <w:rsid w:val="008B209C"/>
    <w:rsid w:val="008C1D41"/>
    <w:rsid w:val="008C7ECE"/>
    <w:rsid w:val="00AC05CF"/>
    <w:rsid w:val="00B009C3"/>
    <w:rsid w:val="00B33B0F"/>
    <w:rsid w:val="00B529BA"/>
    <w:rsid w:val="00CC45F2"/>
    <w:rsid w:val="00D1422C"/>
    <w:rsid w:val="00D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7877"/>
  <w15:docId w15:val="{4F7C9F67-D332-4081-8681-152552B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Samantha Tidball</cp:lastModifiedBy>
  <cp:revision>2</cp:revision>
  <cp:lastPrinted>2023-03-30T06:13:00Z</cp:lastPrinted>
  <dcterms:created xsi:type="dcterms:W3CDTF">2023-05-25T06:44:00Z</dcterms:created>
  <dcterms:modified xsi:type="dcterms:W3CDTF">2023-05-25T06:44:00Z</dcterms:modified>
</cp:coreProperties>
</file>